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425"/>
      <w:bookmarkStart w:id="1" w:name="_Toc15377193"/>
      <w:bookmarkStart w:id="2" w:name="_Toc15396597"/>
      <w:bookmarkStart w:id="3" w:name="_Toc15378441"/>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408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426"/>
      <w:bookmarkStart w:id="8" w:name="_Toc15378442"/>
      <w:bookmarkStart w:id="9" w:name="_Toc15396476"/>
      <w:bookmarkStart w:id="10" w:name="_Toc15377194"/>
      <w:bookmarkStart w:id="11" w:name="_Toc15396598"/>
      <w:bookmarkStart w:id="12" w:name="_Toc24499"/>
      <w:r>
        <w:rPr>
          <w:rFonts w:hint="eastAsia" w:ascii="方正小标宋简体" w:hAnsi="方正小标宋简体" w:eastAsia="方正小标宋简体" w:cs="方正小标宋简体"/>
          <w:color w:val="auto"/>
          <w:sz w:val="72"/>
          <w:szCs w:val="72"/>
          <w:highlight w:val="none"/>
        </w:rPr>
        <w:t>四川省</w:t>
      </w:r>
      <w:bookmarkStart w:id="13" w:name="_Toc15306268"/>
      <w:r>
        <w:rPr>
          <w:rFonts w:hint="eastAsia" w:ascii="方正小标宋简体" w:hAnsi="方正小标宋简体" w:eastAsia="方正小标宋简体" w:cs="方正小标宋简体"/>
          <w:color w:val="auto"/>
          <w:sz w:val="72"/>
          <w:szCs w:val="72"/>
          <w:highlight w:val="none"/>
          <w:lang w:eastAsia="zh-CN"/>
        </w:rPr>
        <w:t>广元市朝天区残疾人联合会</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widowControl/>
        <w:jc w:val="both"/>
        <w:rPr>
          <w:rFonts w:ascii="黑体" w:hAnsi="黑体" w:eastAsia="黑体"/>
          <w:color w:val="auto"/>
          <w:sz w:val="48"/>
          <w:szCs w:val="48"/>
          <w:highlight w:val="none"/>
        </w:rPr>
      </w:pPr>
    </w:p>
    <w:p>
      <w:pPr>
        <w:widowControl/>
        <w:jc w:val="center"/>
        <w:rPr>
          <w:rFonts w:ascii="黑体" w:hAnsi="黑体" w:eastAsia="黑体" w:cstheme="minorBidi"/>
          <w:color w:val="auto"/>
          <w:sz w:val="28"/>
          <w:szCs w:val="28"/>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sdt>
      <w:sdtPr>
        <w:rPr>
          <w:rFonts w:ascii="宋体" w:hAnsi="宋体" w:eastAsia="宋体" w:cs="Times New Roman"/>
          <w:kern w:val="2"/>
          <w:sz w:val="21"/>
          <w:szCs w:val="24"/>
          <w:lang w:val="en-US" w:eastAsia="zh-CN" w:bidi="ar-SA"/>
        </w:rPr>
        <w:id w:val="147477663"/>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4" w:name="_Toc15396599"/>
          <w:bookmarkStart w:id="15" w:name="_Toc15377196"/>
          <w:bookmarkStart w:id="121" w:name="_GoBack"/>
          <w:bookmarkEnd w:id="121"/>
          <w:r>
            <w:rPr>
              <w:rFonts w:ascii="宋体" w:hAnsi="宋体" w:eastAsia="宋体"/>
              <w:sz w:val="21"/>
            </w:rPr>
            <w:t>目录</w:t>
          </w:r>
        </w:p>
        <w:p>
          <w:pPr>
            <w:pStyle w:val="43"/>
            <w:tabs>
              <w:tab w:val="right" w:leader="dot" w:pos="8306"/>
            </w:tabs>
          </w:pPr>
          <w:r>
            <w:fldChar w:fldCharType="begin"/>
          </w:r>
          <w:r>
            <w:instrText xml:space="preserve">TOC \o "1-3" \h \u </w:instrText>
          </w:r>
          <w:r>
            <w:fldChar w:fldCharType="separate"/>
          </w:r>
          <w:r>
            <w:fldChar w:fldCharType="begin"/>
          </w:r>
          <w:r>
            <w:instrText xml:space="preserve"> HYPERLINK \l _Toc15096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_Toc15096 \h </w:instrText>
          </w:r>
          <w:r>
            <w:fldChar w:fldCharType="separate"/>
          </w:r>
          <w:r>
            <w:t>3</w:t>
          </w:r>
          <w:r>
            <w:fldChar w:fldCharType="end"/>
          </w:r>
          <w:r>
            <w:fldChar w:fldCharType="end"/>
          </w:r>
        </w:p>
        <w:p>
          <w:pPr>
            <w:pStyle w:val="44"/>
            <w:tabs>
              <w:tab w:val="right" w:leader="dot" w:pos="8306"/>
            </w:tabs>
          </w:pPr>
          <w:r>
            <w:fldChar w:fldCharType="begin"/>
          </w:r>
          <w:r>
            <w:instrText xml:space="preserve"> HYPERLINK \l _Toc28156 </w:instrText>
          </w:r>
          <w:r>
            <w:fldChar w:fldCharType="separate"/>
          </w:r>
          <w:r>
            <w:rPr>
              <w:rFonts w:hint="eastAsia" w:ascii="黑体" w:hAnsi="黑体" w:eastAsia="黑体"/>
              <w:lang w:eastAsia="zh-CN"/>
            </w:rPr>
            <w:t xml:space="preserve">一、 </w:t>
          </w:r>
          <w:r>
            <w:rPr>
              <w:rFonts w:hint="eastAsia" w:ascii="黑体" w:hAnsi="黑体" w:eastAsia="黑体"/>
              <w:highlight w:val="none"/>
              <w:lang w:eastAsia="zh-CN"/>
            </w:rPr>
            <w:t>部门职责</w:t>
          </w:r>
          <w:r>
            <w:tab/>
          </w:r>
          <w:r>
            <w:fldChar w:fldCharType="begin"/>
          </w:r>
          <w:r>
            <w:instrText xml:space="preserve"> PAGEREF _Toc28156 \h </w:instrText>
          </w:r>
          <w:r>
            <w:fldChar w:fldCharType="separate"/>
          </w:r>
          <w:r>
            <w:t>3</w:t>
          </w:r>
          <w:r>
            <w:fldChar w:fldCharType="end"/>
          </w:r>
          <w:r>
            <w:fldChar w:fldCharType="end"/>
          </w:r>
        </w:p>
        <w:p>
          <w:pPr>
            <w:pStyle w:val="44"/>
            <w:tabs>
              <w:tab w:val="right" w:leader="dot" w:pos="8306"/>
            </w:tabs>
          </w:pPr>
          <w:r>
            <w:fldChar w:fldCharType="begin"/>
          </w:r>
          <w:r>
            <w:instrText xml:space="preserve"> HYPERLINK \l _Toc10592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_Toc10592 \h </w:instrText>
          </w:r>
          <w:r>
            <w:fldChar w:fldCharType="separate"/>
          </w:r>
          <w:r>
            <w:t>4</w:t>
          </w:r>
          <w:r>
            <w:fldChar w:fldCharType="end"/>
          </w:r>
          <w:r>
            <w:fldChar w:fldCharType="end"/>
          </w:r>
        </w:p>
        <w:p>
          <w:pPr>
            <w:pStyle w:val="43"/>
            <w:tabs>
              <w:tab w:val="right" w:leader="dot" w:pos="8306"/>
            </w:tabs>
          </w:pPr>
          <w:r>
            <w:fldChar w:fldCharType="begin"/>
          </w:r>
          <w:r>
            <w:instrText xml:space="preserve"> HYPERLINK \l _Toc20025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_Toc20025 \h </w:instrText>
          </w:r>
          <w:r>
            <w:fldChar w:fldCharType="separate"/>
          </w:r>
          <w:r>
            <w:t>5</w:t>
          </w:r>
          <w:r>
            <w:fldChar w:fldCharType="end"/>
          </w:r>
          <w:r>
            <w:fldChar w:fldCharType="end"/>
          </w:r>
        </w:p>
        <w:p>
          <w:pPr>
            <w:pStyle w:val="44"/>
            <w:tabs>
              <w:tab w:val="right" w:leader="dot" w:pos="8306"/>
            </w:tabs>
          </w:pPr>
          <w:r>
            <w:fldChar w:fldCharType="begin"/>
          </w:r>
          <w:r>
            <w:instrText xml:space="preserve"> HYPERLINK \l _Toc24946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_Toc24946 \h </w:instrText>
          </w:r>
          <w:r>
            <w:fldChar w:fldCharType="separate"/>
          </w:r>
          <w:r>
            <w:t>5</w:t>
          </w:r>
          <w:r>
            <w:fldChar w:fldCharType="end"/>
          </w:r>
          <w:r>
            <w:fldChar w:fldCharType="end"/>
          </w:r>
        </w:p>
        <w:p>
          <w:pPr>
            <w:pStyle w:val="44"/>
            <w:tabs>
              <w:tab w:val="right" w:leader="dot" w:pos="8306"/>
            </w:tabs>
          </w:pPr>
          <w:r>
            <w:fldChar w:fldCharType="begin"/>
          </w:r>
          <w:r>
            <w:instrText xml:space="preserve"> HYPERLINK \l _Toc23597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_Toc23597 \h </w:instrText>
          </w:r>
          <w:r>
            <w:fldChar w:fldCharType="separate"/>
          </w:r>
          <w:r>
            <w:t>5</w:t>
          </w:r>
          <w:r>
            <w:fldChar w:fldCharType="end"/>
          </w:r>
          <w:r>
            <w:fldChar w:fldCharType="end"/>
          </w:r>
        </w:p>
        <w:p>
          <w:pPr>
            <w:pStyle w:val="44"/>
            <w:tabs>
              <w:tab w:val="right" w:leader="dot" w:pos="8306"/>
            </w:tabs>
          </w:pPr>
          <w:r>
            <w:fldChar w:fldCharType="begin"/>
          </w:r>
          <w:r>
            <w:instrText xml:space="preserve"> HYPERLINK \l _Toc30504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_Toc30504 \h </w:instrText>
          </w:r>
          <w:r>
            <w:fldChar w:fldCharType="separate"/>
          </w:r>
          <w:r>
            <w:t>6</w:t>
          </w:r>
          <w:r>
            <w:fldChar w:fldCharType="end"/>
          </w:r>
          <w:r>
            <w:fldChar w:fldCharType="end"/>
          </w:r>
        </w:p>
        <w:p>
          <w:pPr>
            <w:pStyle w:val="44"/>
            <w:tabs>
              <w:tab w:val="right" w:leader="dot" w:pos="8306"/>
            </w:tabs>
          </w:pPr>
          <w:r>
            <w:fldChar w:fldCharType="begin"/>
          </w:r>
          <w:r>
            <w:instrText xml:space="preserve"> HYPERLINK \l _Toc7891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_Toc7891 \h </w:instrText>
          </w:r>
          <w:r>
            <w:fldChar w:fldCharType="separate"/>
          </w:r>
          <w:r>
            <w:t>6</w:t>
          </w:r>
          <w:r>
            <w:fldChar w:fldCharType="end"/>
          </w:r>
          <w:r>
            <w:fldChar w:fldCharType="end"/>
          </w:r>
        </w:p>
        <w:p>
          <w:pPr>
            <w:pStyle w:val="44"/>
            <w:tabs>
              <w:tab w:val="right" w:leader="dot" w:pos="8306"/>
            </w:tabs>
          </w:pPr>
          <w:r>
            <w:fldChar w:fldCharType="begin"/>
          </w:r>
          <w:r>
            <w:instrText xml:space="preserve"> HYPERLINK \l _Toc18119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_Toc18119 \h </w:instrText>
          </w:r>
          <w:r>
            <w:fldChar w:fldCharType="separate"/>
          </w:r>
          <w:r>
            <w:t>7</w:t>
          </w:r>
          <w:r>
            <w:fldChar w:fldCharType="end"/>
          </w:r>
          <w:r>
            <w:fldChar w:fldCharType="end"/>
          </w:r>
        </w:p>
        <w:p>
          <w:pPr>
            <w:pStyle w:val="45"/>
            <w:tabs>
              <w:tab w:val="right" w:leader="dot" w:pos="8306"/>
            </w:tabs>
          </w:pPr>
          <w:r>
            <w:fldChar w:fldCharType="begin"/>
          </w:r>
          <w:r>
            <w:instrText xml:space="preserve"> HYPERLINK \l _Toc28710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_Toc28710 \h </w:instrText>
          </w:r>
          <w:r>
            <w:fldChar w:fldCharType="separate"/>
          </w:r>
          <w:r>
            <w:t>7</w:t>
          </w:r>
          <w:r>
            <w:fldChar w:fldCharType="end"/>
          </w:r>
          <w:r>
            <w:fldChar w:fldCharType="end"/>
          </w:r>
        </w:p>
        <w:p>
          <w:pPr>
            <w:pStyle w:val="45"/>
            <w:tabs>
              <w:tab w:val="right" w:leader="dot" w:pos="8306"/>
            </w:tabs>
          </w:pPr>
          <w:r>
            <w:fldChar w:fldCharType="begin"/>
          </w:r>
          <w:r>
            <w:instrText xml:space="preserve"> HYPERLINK \l _Toc32195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_Toc32195 \h </w:instrText>
          </w:r>
          <w:r>
            <w:fldChar w:fldCharType="separate"/>
          </w:r>
          <w:r>
            <w:t>8</w:t>
          </w:r>
          <w:r>
            <w:fldChar w:fldCharType="end"/>
          </w:r>
          <w:r>
            <w:fldChar w:fldCharType="end"/>
          </w:r>
        </w:p>
        <w:p>
          <w:pPr>
            <w:pStyle w:val="45"/>
            <w:tabs>
              <w:tab w:val="right" w:leader="dot" w:pos="8306"/>
            </w:tabs>
          </w:pPr>
          <w:r>
            <w:fldChar w:fldCharType="begin"/>
          </w:r>
          <w:r>
            <w:instrText xml:space="preserve"> HYPERLINK \l _Toc12141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_Toc12141 \h </w:instrText>
          </w:r>
          <w:r>
            <w:fldChar w:fldCharType="separate"/>
          </w:r>
          <w:r>
            <w:t>8</w:t>
          </w:r>
          <w:r>
            <w:fldChar w:fldCharType="end"/>
          </w:r>
          <w:r>
            <w:fldChar w:fldCharType="end"/>
          </w:r>
        </w:p>
        <w:p>
          <w:pPr>
            <w:pStyle w:val="44"/>
            <w:tabs>
              <w:tab w:val="right" w:leader="dot" w:pos="8306"/>
            </w:tabs>
          </w:pPr>
          <w:r>
            <w:fldChar w:fldCharType="begin"/>
          </w:r>
          <w:r>
            <w:instrText xml:space="preserve"> HYPERLINK \l _Toc8060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_Toc8060 \h </w:instrText>
          </w:r>
          <w:r>
            <w:fldChar w:fldCharType="separate"/>
          </w:r>
          <w:r>
            <w:t>9</w:t>
          </w:r>
          <w:r>
            <w:fldChar w:fldCharType="end"/>
          </w:r>
          <w:r>
            <w:fldChar w:fldCharType="end"/>
          </w:r>
        </w:p>
        <w:p>
          <w:pPr>
            <w:pStyle w:val="44"/>
            <w:tabs>
              <w:tab w:val="right" w:leader="dot" w:pos="8306"/>
            </w:tabs>
          </w:pPr>
          <w:r>
            <w:fldChar w:fldCharType="begin"/>
          </w:r>
          <w:r>
            <w:instrText xml:space="preserve"> HYPERLINK \l _Toc581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_Toc581 \h </w:instrText>
          </w:r>
          <w:r>
            <w:fldChar w:fldCharType="separate"/>
          </w:r>
          <w:r>
            <w:t>10</w:t>
          </w:r>
          <w:r>
            <w:fldChar w:fldCharType="end"/>
          </w:r>
          <w:r>
            <w:fldChar w:fldCharType="end"/>
          </w:r>
        </w:p>
        <w:p>
          <w:pPr>
            <w:pStyle w:val="45"/>
            <w:tabs>
              <w:tab w:val="right" w:leader="dot" w:pos="8306"/>
            </w:tabs>
          </w:pPr>
          <w:r>
            <w:fldChar w:fldCharType="begin"/>
          </w:r>
          <w:r>
            <w:instrText xml:space="preserve"> HYPERLINK \l _Toc30625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_Toc30625 \h </w:instrText>
          </w:r>
          <w:r>
            <w:fldChar w:fldCharType="separate"/>
          </w:r>
          <w:r>
            <w:t>10</w:t>
          </w:r>
          <w:r>
            <w:fldChar w:fldCharType="end"/>
          </w:r>
          <w:r>
            <w:fldChar w:fldCharType="end"/>
          </w:r>
        </w:p>
        <w:p>
          <w:pPr>
            <w:pStyle w:val="45"/>
            <w:tabs>
              <w:tab w:val="right" w:leader="dot" w:pos="8306"/>
            </w:tabs>
          </w:pPr>
          <w:r>
            <w:fldChar w:fldCharType="begin"/>
          </w:r>
          <w:r>
            <w:instrText xml:space="preserve"> HYPERLINK \l _Toc25171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_Toc25171 \h </w:instrText>
          </w:r>
          <w:r>
            <w:fldChar w:fldCharType="separate"/>
          </w:r>
          <w:r>
            <w:t>11</w:t>
          </w:r>
          <w:r>
            <w:fldChar w:fldCharType="end"/>
          </w:r>
          <w:r>
            <w:fldChar w:fldCharType="end"/>
          </w:r>
        </w:p>
        <w:p>
          <w:pPr>
            <w:pStyle w:val="44"/>
            <w:tabs>
              <w:tab w:val="right" w:leader="dot" w:pos="8306"/>
            </w:tabs>
          </w:pPr>
          <w:r>
            <w:fldChar w:fldCharType="begin"/>
          </w:r>
          <w:r>
            <w:instrText xml:space="preserve"> HYPERLINK \l _Toc25258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_Toc25258 \h </w:instrText>
          </w:r>
          <w:r>
            <w:fldChar w:fldCharType="separate"/>
          </w:r>
          <w:r>
            <w:t>11</w:t>
          </w:r>
          <w:r>
            <w:fldChar w:fldCharType="end"/>
          </w:r>
          <w:r>
            <w:fldChar w:fldCharType="end"/>
          </w:r>
        </w:p>
        <w:p>
          <w:pPr>
            <w:pStyle w:val="44"/>
            <w:tabs>
              <w:tab w:val="right" w:leader="dot" w:pos="8306"/>
            </w:tabs>
          </w:pPr>
          <w:r>
            <w:fldChar w:fldCharType="begin"/>
          </w:r>
          <w:r>
            <w:instrText xml:space="preserve"> HYPERLINK \l _Toc15104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_Toc15104 \h </w:instrText>
          </w:r>
          <w:r>
            <w:fldChar w:fldCharType="separate"/>
          </w:r>
          <w:r>
            <w:t>11</w:t>
          </w:r>
          <w:r>
            <w:fldChar w:fldCharType="end"/>
          </w:r>
          <w:r>
            <w:fldChar w:fldCharType="end"/>
          </w:r>
        </w:p>
        <w:p>
          <w:pPr>
            <w:pStyle w:val="44"/>
            <w:tabs>
              <w:tab w:val="right" w:leader="dot" w:pos="8306"/>
            </w:tabs>
          </w:pPr>
          <w:r>
            <w:fldChar w:fldCharType="begin"/>
          </w:r>
          <w:r>
            <w:instrText xml:space="preserve"> HYPERLINK \l _Toc22221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_Toc22221 \h </w:instrText>
          </w:r>
          <w:r>
            <w:fldChar w:fldCharType="separate"/>
          </w:r>
          <w:r>
            <w:t>12</w:t>
          </w:r>
          <w:r>
            <w:fldChar w:fldCharType="end"/>
          </w:r>
          <w:r>
            <w:fldChar w:fldCharType="end"/>
          </w:r>
        </w:p>
        <w:p>
          <w:pPr>
            <w:pStyle w:val="45"/>
            <w:tabs>
              <w:tab w:val="right" w:leader="dot" w:pos="8306"/>
            </w:tabs>
          </w:pPr>
          <w:r>
            <w:fldChar w:fldCharType="begin"/>
          </w:r>
          <w:r>
            <w:instrText xml:space="preserve"> HYPERLINK \l _Toc14376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_Toc14376 \h </w:instrText>
          </w:r>
          <w:r>
            <w:fldChar w:fldCharType="separate"/>
          </w:r>
          <w:r>
            <w:t>12</w:t>
          </w:r>
          <w:r>
            <w:fldChar w:fldCharType="end"/>
          </w:r>
          <w:r>
            <w:fldChar w:fldCharType="end"/>
          </w:r>
        </w:p>
        <w:p>
          <w:pPr>
            <w:pStyle w:val="45"/>
            <w:tabs>
              <w:tab w:val="right" w:leader="dot" w:pos="8306"/>
            </w:tabs>
          </w:pPr>
          <w:r>
            <w:fldChar w:fldCharType="begin"/>
          </w:r>
          <w:r>
            <w:instrText xml:space="preserve"> HYPERLINK \l _Toc19518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_Toc19518 \h </w:instrText>
          </w:r>
          <w:r>
            <w:fldChar w:fldCharType="separate"/>
          </w:r>
          <w:r>
            <w:t>12</w:t>
          </w:r>
          <w:r>
            <w:fldChar w:fldCharType="end"/>
          </w:r>
          <w:r>
            <w:fldChar w:fldCharType="end"/>
          </w:r>
        </w:p>
        <w:p>
          <w:pPr>
            <w:pStyle w:val="45"/>
            <w:tabs>
              <w:tab w:val="right" w:leader="dot" w:pos="8306"/>
            </w:tabs>
          </w:pPr>
          <w:r>
            <w:fldChar w:fldCharType="begin"/>
          </w:r>
          <w:r>
            <w:instrText xml:space="preserve"> HYPERLINK \l _Toc9270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_Toc9270 \h </w:instrText>
          </w:r>
          <w:r>
            <w:fldChar w:fldCharType="separate"/>
          </w:r>
          <w:r>
            <w:t>12</w:t>
          </w:r>
          <w:r>
            <w:fldChar w:fldCharType="end"/>
          </w:r>
          <w:r>
            <w:fldChar w:fldCharType="end"/>
          </w:r>
        </w:p>
        <w:p>
          <w:pPr>
            <w:pStyle w:val="45"/>
            <w:tabs>
              <w:tab w:val="right" w:leader="dot" w:pos="8306"/>
            </w:tabs>
          </w:pPr>
          <w:r>
            <w:fldChar w:fldCharType="begin"/>
          </w:r>
          <w:r>
            <w:instrText xml:space="preserve"> HYPERLINK \l _Toc27025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_Toc27025 \h </w:instrText>
          </w:r>
          <w:r>
            <w:fldChar w:fldCharType="separate"/>
          </w:r>
          <w:r>
            <w:t>12</w:t>
          </w:r>
          <w:r>
            <w:fldChar w:fldCharType="end"/>
          </w:r>
          <w:r>
            <w:fldChar w:fldCharType="end"/>
          </w:r>
        </w:p>
        <w:p>
          <w:pPr>
            <w:pStyle w:val="43"/>
            <w:tabs>
              <w:tab w:val="right" w:leader="dot" w:pos="8306"/>
            </w:tabs>
          </w:pPr>
          <w:r>
            <w:fldChar w:fldCharType="begin"/>
          </w:r>
          <w:r>
            <w:instrText xml:space="preserve"> HYPERLINK \l _Toc21480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_Toc21480 \h </w:instrText>
          </w:r>
          <w:r>
            <w:fldChar w:fldCharType="separate"/>
          </w:r>
          <w:r>
            <w:t>14</w:t>
          </w:r>
          <w:r>
            <w:fldChar w:fldCharType="end"/>
          </w:r>
          <w:r>
            <w:fldChar w:fldCharType="end"/>
          </w:r>
        </w:p>
        <w:p>
          <w:pPr>
            <w:pStyle w:val="43"/>
            <w:tabs>
              <w:tab w:val="right" w:leader="dot" w:pos="8306"/>
            </w:tabs>
          </w:pPr>
          <w:r>
            <w:fldChar w:fldCharType="begin"/>
          </w:r>
          <w:r>
            <w:instrText xml:space="preserve"> HYPERLINK \l _Toc16156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_Toc16156 \h </w:instrText>
          </w:r>
          <w:r>
            <w:fldChar w:fldCharType="separate"/>
          </w:r>
          <w:r>
            <w:t>18</w:t>
          </w:r>
          <w:r>
            <w:fldChar w:fldCharType="end"/>
          </w:r>
          <w:r>
            <w:fldChar w:fldCharType="end"/>
          </w:r>
        </w:p>
        <w:p>
          <w:pPr>
            <w:pStyle w:val="43"/>
            <w:tabs>
              <w:tab w:val="right" w:leader="dot" w:pos="8306"/>
            </w:tabs>
          </w:pPr>
          <w:r>
            <w:fldChar w:fldCharType="begin"/>
          </w:r>
          <w:r>
            <w:instrText xml:space="preserve"> HYPERLINK \l _Toc12932 </w:instrText>
          </w:r>
          <w:r>
            <w:fldChar w:fldCharType="separate"/>
          </w:r>
          <w:r>
            <w:rPr>
              <w:rFonts w:hint="eastAsia" w:ascii="黑体" w:hAnsi="黑体" w:eastAsia="黑体" w:cs="黑体"/>
              <w:szCs w:val="28"/>
            </w:rPr>
            <w:t>附件1</w:t>
          </w:r>
          <w:r>
            <w:tab/>
          </w:r>
          <w:r>
            <w:fldChar w:fldCharType="begin"/>
          </w:r>
          <w:r>
            <w:instrText xml:space="preserve"> PAGEREF _Toc12932 \h </w:instrText>
          </w:r>
          <w:r>
            <w:fldChar w:fldCharType="separate"/>
          </w:r>
          <w:r>
            <w:t>18</w:t>
          </w:r>
          <w:r>
            <w:fldChar w:fldCharType="end"/>
          </w:r>
          <w:r>
            <w:fldChar w:fldCharType="end"/>
          </w:r>
        </w:p>
        <w:p>
          <w:pPr>
            <w:pStyle w:val="43"/>
            <w:tabs>
              <w:tab w:val="right" w:leader="dot" w:pos="8306"/>
            </w:tabs>
          </w:pPr>
          <w:r>
            <w:fldChar w:fldCharType="begin"/>
          </w:r>
          <w:r>
            <w:instrText xml:space="preserve"> HYPERLINK \l _Toc24111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_Toc24111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_Toc6840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_Toc6840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_Toc29426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_Toc29426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_Toc7025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_Toc7025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_Toc15971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_Toc15971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_Toc12402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_Toc12402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_Toc30980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_Toc30980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_Toc29884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_Toc29884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_Toc11323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_Toc11323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_Toc17658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_Toc17658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_Toc16244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_Toc16244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_Toc14996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_Toc14996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_Toc27671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_Toc27671 \h </w:instrText>
          </w:r>
          <w:r>
            <w:fldChar w:fldCharType="separate"/>
          </w:r>
          <w:r>
            <w:t>74</w:t>
          </w:r>
          <w:r>
            <w:fldChar w:fldCharType="end"/>
          </w:r>
          <w:r>
            <w:fldChar w:fldCharType="end"/>
          </w:r>
        </w:p>
        <w:p>
          <w:pPr>
            <w:pStyle w:val="44"/>
            <w:tabs>
              <w:tab w:val="right" w:leader="dot" w:pos="8306"/>
            </w:tabs>
          </w:pPr>
          <w:r>
            <w:fldChar w:fldCharType="begin"/>
          </w:r>
          <w:r>
            <w:instrText xml:space="preserve"> HYPERLINK \l _Toc22976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_Toc22976 \h </w:instrText>
          </w:r>
          <w:r>
            <w:fldChar w:fldCharType="separate"/>
          </w:r>
          <w:r>
            <w:t>74</w:t>
          </w:r>
          <w:r>
            <w:fldChar w:fldCharType="end"/>
          </w:r>
          <w:r>
            <w:fldChar w:fldCharType="end"/>
          </w:r>
        </w:p>
        <w:p>
          <w:r>
            <w:fldChar w:fldCharType="end"/>
          </w:r>
        </w:p>
      </w:sdtContent>
    </w:sdt>
    <w:p>
      <w:pPr>
        <w:pStyle w:val="3"/>
        <w:jc w:val="center"/>
        <w:rPr>
          <w:rStyle w:val="30"/>
          <w:rFonts w:ascii="黑体" w:hAnsi="黑体" w:eastAsia="黑体"/>
          <w:b/>
          <w:bCs w:val="0"/>
          <w:color w:val="auto"/>
          <w:highlight w:val="none"/>
        </w:rPr>
      </w:pPr>
      <w:bookmarkStart w:id="16" w:name="_Toc15096"/>
      <w:r>
        <w:rPr>
          <w:rFonts w:hint="eastAsia" w:ascii="黑体" w:hAnsi="黑体" w:eastAsia="黑体"/>
          <w:b w:val="0"/>
          <w:color w:val="auto"/>
          <w:highlight w:val="none"/>
        </w:rPr>
        <w:t xml:space="preserve">第一部分 </w:t>
      </w:r>
      <w:r>
        <w:rPr>
          <w:rStyle w:val="30"/>
          <w:rFonts w:hint="eastAsia" w:ascii="黑体" w:hAnsi="黑体" w:eastAsia="黑体"/>
          <w:b w:val="0"/>
          <w:bCs w:val="0"/>
          <w:color w:val="auto"/>
          <w:highlight w:val="none"/>
        </w:rPr>
        <w:t>部门概况</w:t>
      </w:r>
      <w:bookmarkEnd w:id="14"/>
      <w:bookmarkEnd w:id="15"/>
      <w:bookmarkEnd w:id="16"/>
    </w:p>
    <w:p>
      <w:pPr>
        <w:widowControl/>
        <w:jc w:val="left"/>
        <w:rPr>
          <w:rFonts w:ascii="黑体" w:eastAsia="黑体"/>
          <w:color w:val="auto"/>
          <w:sz w:val="32"/>
          <w:szCs w:val="32"/>
          <w:highlight w:val="none"/>
        </w:rPr>
      </w:pPr>
    </w:p>
    <w:p>
      <w:pPr>
        <w:pStyle w:val="4"/>
        <w:numPr>
          <w:ilvl w:val="0"/>
          <w:numId w:val="1"/>
        </w:numPr>
        <w:rPr>
          <w:rFonts w:hint="eastAsia" w:ascii="黑体" w:hAnsi="黑体" w:eastAsia="黑体"/>
          <w:b w:val="0"/>
          <w:color w:val="auto"/>
          <w:highlight w:val="none"/>
          <w:lang w:eastAsia="zh-CN"/>
        </w:rPr>
      </w:pPr>
      <w:bookmarkStart w:id="17" w:name="_Toc28156"/>
      <w:r>
        <w:rPr>
          <w:rFonts w:hint="eastAsia" w:ascii="黑体" w:hAnsi="黑体" w:eastAsia="黑体"/>
          <w:b w:val="0"/>
          <w:color w:val="auto"/>
          <w:highlight w:val="none"/>
          <w:lang w:eastAsia="zh-CN"/>
        </w:rPr>
        <w:t>部门职责</w:t>
      </w:r>
      <w:bookmarkEnd w:id="17"/>
    </w:p>
    <w:p>
      <w:pPr>
        <w:pStyle w:val="7"/>
        <w:adjustRightInd w:val="0"/>
        <w:snapToGrid w:val="0"/>
        <w:spacing w:before="93" w:line="600" w:lineRule="exact"/>
        <w:ind w:firstLine="672" w:firstLineChars="210"/>
        <w:outlineLvl w:val="2"/>
        <w:rPr>
          <w:rFonts w:hint="eastAsia" w:ascii="仿宋" w:hAnsi="仿宋" w:eastAsia="仿宋" w:cs="仿宋"/>
          <w:sz w:val="32"/>
          <w:szCs w:val="32"/>
          <w:lang w:eastAsia="zh-CN"/>
        </w:rPr>
      </w:pPr>
      <w:bookmarkStart w:id="18" w:name="_Toc3082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)听取残疾人意见,反映残疾人需求,维护残疾人权益，为残疾人服务。</w:t>
      </w:r>
      <w:bookmarkEnd w:id="18"/>
    </w:p>
    <w:p>
      <w:pPr>
        <w:pStyle w:val="7"/>
        <w:adjustRightInd w:val="0"/>
        <w:snapToGrid w:val="0"/>
        <w:spacing w:before="93" w:line="600" w:lineRule="exact"/>
        <w:ind w:firstLine="672" w:firstLineChars="210"/>
        <w:outlineLvl w:val="2"/>
        <w:rPr>
          <w:rFonts w:hint="eastAsia" w:ascii="仿宋" w:hAnsi="仿宋" w:eastAsia="仿宋" w:cs="仿宋"/>
          <w:sz w:val="32"/>
          <w:szCs w:val="32"/>
          <w:lang w:eastAsia="zh-CN"/>
        </w:rPr>
      </w:pPr>
      <w:bookmarkStart w:id="19" w:name="_Toc22779"/>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)团结、教育残疾人遵守法律,履行应尽的义务,发扬</w:t>
      </w:r>
      <w:bookmarkEnd w:id="19"/>
    </w:p>
    <w:p>
      <w:pPr>
        <w:pStyle w:val="7"/>
        <w:adjustRightInd w:val="0"/>
        <w:snapToGrid w:val="0"/>
        <w:spacing w:before="93" w:line="600" w:lineRule="exact"/>
        <w:outlineLvl w:val="2"/>
        <w:rPr>
          <w:rFonts w:hint="eastAsia" w:ascii="仿宋" w:hAnsi="仿宋" w:eastAsia="仿宋" w:cs="仿宋"/>
          <w:sz w:val="32"/>
          <w:szCs w:val="32"/>
          <w:lang w:eastAsia="zh-CN"/>
        </w:rPr>
      </w:pPr>
      <w:bookmarkStart w:id="20" w:name="_Toc14644"/>
      <w:r>
        <w:rPr>
          <w:rFonts w:hint="eastAsia" w:ascii="仿宋" w:hAnsi="仿宋" w:eastAsia="仿宋" w:cs="仿宋"/>
          <w:sz w:val="32"/>
          <w:szCs w:val="32"/>
          <w:lang w:eastAsia="zh-CN"/>
        </w:rPr>
        <w:t>乐观进取精神,自尊、自信、自强、自立,为社会主义建设贡献力量。</w:t>
      </w:r>
      <w:bookmarkEnd w:id="20"/>
    </w:p>
    <w:p>
      <w:pPr>
        <w:pStyle w:val="7"/>
        <w:adjustRightInd w:val="0"/>
        <w:snapToGrid w:val="0"/>
        <w:spacing w:before="93" w:line="600" w:lineRule="exact"/>
        <w:ind w:firstLine="672" w:firstLineChars="210"/>
        <w:outlineLvl w:val="2"/>
        <w:rPr>
          <w:rFonts w:hint="eastAsia" w:ascii="仿宋" w:hAnsi="仿宋" w:eastAsia="仿宋" w:cs="仿宋"/>
          <w:sz w:val="32"/>
          <w:szCs w:val="32"/>
          <w:lang w:eastAsia="zh-CN"/>
        </w:rPr>
      </w:pPr>
      <w:bookmarkStart w:id="21" w:name="_Toc2004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)开展残疾人康复、教育、劳动就业、文化、体育、福利、社会服务和无障碍设施及残疾预防工作,创造良好的环境和条件,扶助残疾人平等参与社会生活。</w:t>
      </w:r>
      <w:bookmarkEnd w:id="21"/>
    </w:p>
    <w:p>
      <w:pPr>
        <w:pStyle w:val="7"/>
        <w:adjustRightInd w:val="0"/>
        <w:snapToGrid w:val="0"/>
        <w:spacing w:before="93" w:line="600" w:lineRule="exact"/>
        <w:ind w:firstLine="672" w:firstLineChars="210"/>
        <w:outlineLvl w:val="2"/>
        <w:rPr>
          <w:rFonts w:hint="eastAsia" w:ascii="仿宋" w:hAnsi="仿宋" w:eastAsia="仿宋" w:cs="仿宋"/>
          <w:sz w:val="32"/>
          <w:szCs w:val="32"/>
          <w:lang w:eastAsia="zh-CN"/>
        </w:rPr>
      </w:pPr>
      <w:bookmarkStart w:id="22" w:name="_Toc31426"/>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)协助政府研究、制定和实施残疾人事业的政策、规划和计划,起草有关保障残疾人权益的规范性文件,调查掌握残疾人状况,向政府提出决策建议,对残疾人工作进行管理和指导。</w:t>
      </w:r>
      <w:bookmarkEnd w:id="22"/>
    </w:p>
    <w:p>
      <w:pPr>
        <w:pStyle w:val="7"/>
        <w:adjustRightInd w:val="0"/>
        <w:snapToGrid w:val="0"/>
        <w:spacing w:before="93" w:line="600" w:lineRule="exact"/>
        <w:ind w:firstLine="672" w:firstLineChars="210"/>
        <w:outlineLvl w:val="2"/>
        <w:rPr>
          <w:rFonts w:hint="eastAsia" w:ascii="仿宋" w:hAnsi="仿宋" w:eastAsia="仿宋" w:cs="仿宋"/>
          <w:sz w:val="32"/>
          <w:szCs w:val="32"/>
          <w:lang w:eastAsia="zh-CN"/>
        </w:rPr>
      </w:pPr>
      <w:bookmarkStart w:id="23" w:name="_Toc19302"/>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)组织实施残疾人按比例就业工作,会同有关部门制定并监督实施残疾人社会福利生产和扶持保护政策。</w:t>
      </w:r>
      <w:bookmarkEnd w:id="23"/>
    </w:p>
    <w:p>
      <w:pPr>
        <w:pStyle w:val="7"/>
        <w:adjustRightInd w:val="0"/>
        <w:snapToGrid w:val="0"/>
        <w:spacing w:before="93" w:line="600" w:lineRule="exact"/>
        <w:ind w:firstLine="672" w:firstLineChars="210"/>
        <w:outlineLvl w:val="2"/>
        <w:rPr>
          <w:rFonts w:hint="eastAsia" w:ascii="仿宋" w:hAnsi="仿宋" w:eastAsia="仿宋" w:cs="仿宋"/>
          <w:sz w:val="32"/>
          <w:szCs w:val="32"/>
          <w:lang w:eastAsia="zh-CN"/>
        </w:rPr>
      </w:pPr>
      <w:bookmarkStart w:id="24" w:name="_Toc1938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)指导各类残疾人社团组织;统筹开展为残疾人事业募捐活动;开展残疾人事业的对外交流与合作。</w:t>
      </w:r>
      <w:bookmarkEnd w:id="24"/>
    </w:p>
    <w:p>
      <w:pPr>
        <w:pStyle w:val="7"/>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25" w:name="_Toc22222"/>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)承办区委、区政府交办的其他事项。</w:t>
      </w:r>
      <w:bookmarkEnd w:id="25"/>
    </w:p>
    <w:p>
      <w:pPr>
        <w:numPr>
          <w:ilvl w:val="0"/>
          <w:numId w:val="0"/>
        </w:numPr>
        <w:rPr>
          <w:rFonts w:hint="eastAsia"/>
          <w:lang w:eastAsia="zh-CN"/>
        </w:rPr>
      </w:pPr>
    </w:p>
    <w:p>
      <w:pPr>
        <w:pStyle w:val="4"/>
        <w:rPr>
          <w:rStyle w:val="31"/>
          <w:b w:val="0"/>
          <w:bCs w:val="0"/>
          <w:color w:val="auto"/>
          <w:highlight w:val="none"/>
        </w:rPr>
      </w:pPr>
      <w:bookmarkStart w:id="26" w:name="_Toc15396601"/>
      <w:bookmarkStart w:id="27" w:name="_Toc15377200"/>
      <w:bookmarkStart w:id="28" w:name="_Toc10592"/>
      <w:r>
        <w:rPr>
          <w:rFonts w:hint="eastAsia" w:ascii="黑体" w:eastAsia="黑体"/>
          <w:b w:val="0"/>
          <w:color w:val="auto"/>
          <w:highlight w:val="none"/>
        </w:rPr>
        <w:t>二、</w:t>
      </w:r>
      <w:r>
        <w:rPr>
          <w:rFonts w:hint="eastAsia" w:ascii="黑体" w:hAnsi="黑体" w:eastAsia="黑体"/>
          <w:b w:val="0"/>
          <w:color w:val="auto"/>
          <w:highlight w:val="none"/>
        </w:rPr>
        <w:t>机</w:t>
      </w:r>
      <w:r>
        <w:rPr>
          <w:rStyle w:val="31"/>
          <w:rFonts w:hint="eastAsia" w:ascii="黑体" w:hAnsi="黑体" w:eastAsia="黑体"/>
          <w:b w:val="0"/>
          <w:bCs w:val="0"/>
          <w:color w:val="auto"/>
          <w:highlight w:val="none"/>
        </w:rPr>
        <w:t>构设置</w:t>
      </w:r>
      <w:bookmarkEnd w:id="26"/>
      <w:bookmarkEnd w:id="27"/>
      <w:bookmarkEnd w:id="28"/>
    </w:p>
    <w:p>
      <w:pPr>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广元市朝天区残疾人联合会</w:t>
      </w:r>
      <w:r>
        <w:rPr>
          <w:rFonts w:hint="eastAsia" w:ascii="仿宋" w:hAnsi="仿宋" w:eastAsia="仿宋" w:cs="仿宋"/>
          <w:sz w:val="32"/>
          <w:szCs w:val="32"/>
        </w:rPr>
        <w:t>属财政一级预算单位，下属二级预算单位</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z w:val="32"/>
          <w:szCs w:val="32"/>
          <w:lang w:eastAsia="zh-CN"/>
        </w:rPr>
        <w:t>，属于</w:t>
      </w:r>
      <w:r>
        <w:rPr>
          <w:rFonts w:hint="eastAsia" w:ascii="仿宋" w:hAnsi="仿宋" w:eastAsia="仿宋" w:cs="仿宋"/>
          <w:sz w:val="32"/>
          <w:szCs w:val="32"/>
        </w:rPr>
        <w:t>参照公务员法管理的事业单位</w:t>
      </w:r>
      <w:r>
        <w:rPr>
          <w:rFonts w:hint="eastAsia" w:ascii="仿宋" w:hAnsi="仿宋" w:eastAsia="仿宋" w:cs="仿宋"/>
          <w:sz w:val="32"/>
          <w:szCs w:val="32"/>
          <w:lang w:eastAsia="zh-CN"/>
        </w:rPr>
        <w:t>，</w:t>
      </w:r>
      <w:r>
        <w:rPr>
          <w:rFonts w:hint="eastAsia" w:ascii="仿宋" w:hAnsi="仿宋" w:eastAsia="仿宋" w:cs="仿宋"/>
          <w:sz w:val="32"/>
          <w:szCs w:val="32"/>
        </w:rPr>
        <w:t>（其他事业</w:t>
      </w:r>
      <w:r>
        <w:rPr>
          <w:rFonts w:hint="eastAsia" w:ascii="仿宋" w:hAnsi="仿宋" w:eastAsia="仿宋" w:cs="仿宋"/>
          <w:sz w:val="32"/>
          <w:szCs w:val="32"/>
          <w:lang w:eastAsia="zh-CN"/>
        </w:rPr>
        <w:t>机构</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pageBreakBefore w:val="0"/>
        <w:widowControl/>
        <w:kinsoku/>
        <w:wordWrap/>
        <w:overflowPunct/>
        <w:topLinePunct w:val="0"/>
        <w:bidi w:val="0"/>
        <w:spacing w:line="600" w:lineRule="exact"/>
        <w:ind w:firstLine="640" w:firstLineChars="200"/>
        <w:jc w:val="left"/>
        <w:textAlignment w:val="auto"/>
        <w:rPr>
          <w:rFonts w:ascii="仿宋" w:hAnsi="仿宋" w:eastAsia="仿宋"/>
          <w:color w:val="auto"/>
          <w:kern w:val="0"/>
          <w:sz w:val="32"/>
          <w:szCs w:val="32"/>
          <w:highlight w:val="none"/>
        </w:rPr>
      </w:pPr>
      <w:r>
        <w:rPr>
          <w:rFonts w:hint="eastAsia" w:ascii="仿宋" w:hAnsi="仿宋" w:eastAsia="仿宋" w:cs="仿宋"/>
          <w:sz w:val="32"/>
          <w:szCs w:val="32"/>
          <w:lang w:eastAsia="zh-CN"/>
        </w:rPr>
        <w:t>广元市朝天区残疾人联合会</w:t>
      </w:r>
      <w:r>
        <w:rPr>
          <w:rFonts w:hint="eastAsia" w:ascii="仿宋" w:hAnsi="仿宋" w:eastAsia="仿宋" w:cs="仿宋"/>
          <w:sz w:val="32"/>
          <w:szCs w:val="32"/>
        </w:rPr>
        <w:t>总编制</w:t>
      </w:r>
      <w:r>
        <w:rPr>
          <w:rFonts w:hint="eastAsia" w:ascii="仿宋" w:hAnsi="仿宋" w:eastAsia="仿宋" w:cs="仿宋"/>
          <w:sz w:val="32"/>
          <w:szCs w:val="32"/>
          <w:lang w:val="en-US" w:eastAsia="zh-CN"/>
        </w:rPr>
        <w:t>8</w:t>
      </w:r>
      <w:r>
        <w:rPr>
          <w:rFonts w:hint="eastAsia" w:ascii="仿宋" w:hAnsi="仿宋" w:eastAsia="仿宋" w:cs="仿宋"/>
          <w:sz w:val="32"/>
          <w:szCs w:val="32"/>
        </w:rPr>
        <w:t>名，其中行政编制</w:t>
      </w:r>
      <w:r>
        <w:rPr>
          <w:rFonts w:hint="eastAsia" w:ascii="仿宋" w:hAnsi="仿宋" w:eastAsia="仿宋" w:cs="仿宋"/>
          <w:sz w:val="32"/>
          <w:szCs w:val="32"/>
          <w:lang w:val="en-US" w:eastAsia="zh-CN"/>
        </w:rPr>
        <w:t>5</w:t>
      </w:r>
      <w:r>
        <w:rPr>
          <w:rFonts w:hint="eastAsia" w:ascii="仿宋" w:hAnsi="仿宋" w:eastAsia="仿宋" w:cs="仿宋"/>
          <w:sz w:val="32"/>
          <w:szCs w:val="32"/>
        </w:rPr>
        <w:t>名，行政执法编制</w:t>
      </w:r>
      <w:r>
        <w:rPr>
          <w:rFonts w:hint="eastAsia" w:ascii="仿宋" w:hAnsi="仿宋" w:eastAsia="仿宋" w:cs="仿宋"/>
          <w:sz w:val="32"/>
          <w:szCs w:val="32"/>
          <w:lang w:val="en-US" w:eastAsia="zh-CN"/>
        </w:rPr>
        <w:t>0</w:t>
      </w:r>
      <w:r>
        <w:rPr>
          <w:rFonts w:hint="eastAsia" w:ascii="仿宋" w:hAnsi="仿宋" w:eastAsia="仿宋" w:cs="仿宋"/>
          <w:sz w:val="32"/>
          <w:szCs w:val="32"/>
        </w:rPr>
        <w:t>名，事业编制</w:t>
      </w:r>
      <w:r>
        <w:rPr>
          <w:rFonts w:hint="eastAsia" w:ascii="仿宋" w:hAnsi="仿宋" w:eastAsia="仿宋" w:cs="仿宋"/>
          <w:sz w:val="32"/>
          <w:szCs w:val="32"/>
          <w:lang w:val="en-US" w:eastAsia="zh-CN"/>
        </w:rPr>
        <w:t>2</w:t>
      </w:r>
      <w:r>
        <w:rPr>
          <w:rFonts w:hint="eastAsia" w:ascii="仿宋" w:hAnsi="仿宋" w:eastAsia="仿宋" w:cs="仿宋"/>
          <w:sz w:val="32"/>
          <w:szCs w:val="32"/>
        </w:rPr>
        <w:t>名，工勤编制</w:t>
      </w:r>
      <w:r>
        <w:rPr>
          <w:rFonts w:hint="eastAsia" w:ascii="仿宋" w:hAnsi="仿宋" w:eastAsia="仿宋" w:cs="仿宋"/>
          <w:sz w:val="32"/>
          <w:szCs w:val="32"/>
          <w:lang w:val="en-US" w:eastAsia="zh-CN"/>
        </w:rPr>
        <w:t>1</w:t>
      </w:r>
      <w:r>
        <w:rPr>
          <w:rFonts w:hint="eastAsia" w:ascii="仿宋" w:hAnsi="仿宋" w:eastAsia="仿宋" w:cs="仿宋"/>
          <w:sz w:val="32"/>
          <w:szCs w:val="32"/>
        </w:rPr>
        <w:t>人，自收自支编制</w:t>
      </w:r>
      <w:r>
        <w:rPr>
          <w:rFonts w:hint="eastAsia" w:ascii="仿宋" w:hAnsi="仿宋" w:eastAsia="仿宋" w:cs="仿宋"/>
          <w:sz w:val="32"/>
          <w:szCs w:val="32"/>
          <w:lang w:val="en-US" w:eastAsia="zh-CN"/>
        </w:rPr>
        <w:t>0</w:t>
      </w:r>
      <w:r>
        <w:rPr>
          <w:rFonts w:hint="eastAsia" w:ascii="仿宋" w:hAnsi="仿宋" w:eastAsia="仿宋" w:cs="仿宋"/>
          <w:sz w:val="32"/>
          <w:szCs w:val="32"/>
        </w:rPr>
        <w:t>名。</w:t>
      </w:r>
      <w:r>
        <w:rPr>
          <w:rFonts w:hint="eastAsia" w:ascii="仿宋" w:hAnsi="仿宋" w:eastAsia="仿宋" w:cs="仿宋"/>
          <w:sz w:val="32"/>
          <w:szCs w:val="32"/>
          <w:highlight w:val="none"/>
        </w:rPr>
        <w:t>在职人员总数</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人，其中行政人员</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人，行政执法人员</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人，事业人员</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人，工勤人员</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人；退休人员</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人。</w:t>
      </w:r>
    </w:p>
    <w:p>
      <w:pPr>
        <w:pStyle w:val="3"/>
        <w:ind w:right="440"/>
        <w:jc w:val="center"/>
        <w:outlineLvl w:val="9"/>
        <w:rPr>
          <w:rFonts w:hint="eastAsia" w:ascii="黑体" w:hAnsi="黑体" w:eastAsia="黑体"/>
          <w:b w:val="0"/>
          <w:bCs/>
          <w:color w:val="auto"/>
          <w:highlight w:val="none"/>
        </w:rPr>
      </w:pPr>
      <w:bookmarkStart w:id="29" w:name="_Toc15377204"/>
      <w:bookmarkStart w:id="30" w:name="_Toc15396602"/>
    </w:p>
    <w:p>
      <w:pPr>
        <w:pStyle w:val="3"/>
        <w:ind w:right="440"/>
        <w:jc w:val="both"/>
        <w:outlineLvl w:val="9"/>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11"/>
        <w:rPr>
          <w:rFonts w:hint="eastAsia" w:ascii="黑体" w:hAnsi="黑体" w:eastAsia="黑体"/>
          <w:b w:val="0"/>
          <w:bCs/>
          <w:color w:val="auto"/>
          <w:highlight w:val="none"/>
        </w:rPr>
      </w:pPr>
    </w:p>
    <w:p>
      <w:pPr>
        <w:pStyle w:val="3"/>
        <w:ind w:right="440"/>
        <w:jc w:val="center"/>
        <w:rPr>
          <w:rStyle w:val="30"/>
          <w:rFonts w:ascii="黑体" w:hAnsi="黑体" w:eastAsia="黑体"/>
          <w:b w:val="0"/>
          <w:bCs/>
          <w:color w:val="auto"/>
          <w:highlight w:val="none"/>
        </w:rPr>
      </w:pPr>
      <w:bookmarkStart w:id="31" w:name="_Toc20025"/>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0"/>
          <w:rFonts w:hint="eastAsia" w:ascii="黑体" w:hAnsi="黑体" w:eastAsia="黑体"/>
          <w:b w:val="0"/>
          <w:bCs/>
          <w:color w:val="auto"/>
          <w:highlight w:val="none"/>
        </w:rPr>
        <w:t>部门决算情况说明</w:t>
      </w:r>
      <w:bookmarkEnd w:id="29"/>
      <w:bookmarkEnd w:id="30"/>
      <w:bookmarkEnd w:id="31"/>
    </w:p>
    <w:p>
      <w:pPr>
        <w:rPr>
          <w:color w:val="auto"/>
          <w:highlight w:val="none"/>
        </w:rPr>
      </w:pP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32" w:name="_Toc15377205"/>
      <w:bookmarkStart w:id="33" w:name="_Toc15396603"/>
      <w:bookmarkStart w:id="34" w:name="_Toc24946"/>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bookmarkEnd w:id="32"/>
      <w:bookmarkEnd w:id="33"/>
      <w:bookmarkEnd w:id="34"/>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总计522</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8</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639.81</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116.99万元，</w:t>
      </w:r>
      <w:r>
        <w:rPr>
          <w:rFonts w:hint="eastAsia" w:ascii="仿宋" w:hAnsi="仿宋" w:eastAsia="仿宋"/>
          <w:color w:val="auto"/>
          <w:sz w:val="32"/>
          <w:szCs w:val="32"/>
          <w:highlight w:val="none"/>
        </w:rPr>
        <w:t>下</w:t>
      </w:r>
      <w:r>
        <w:rPr>
          <w:rFonts w:hint="eastAsia" w:ascii="仿宋" w:hAnsi="仿宋" w:eastAsia="仿宋"/>
          <w:color w:val="auto"/>
          <w:sz w:val="32"/>
          <w:szCs w:val="32"/>
          <w:highlight w:val="none"/>
          <w:lang w:eastAsia="zh-CN"/>
        </w:rPr>
        <w:t>降</w:t>
      </w:r>
      <w:r>
        <w:rPr>
          <w:rFonts w:hint="eastAsia" w:ascii="仿宋" w:hAnsi="仿宋" w:eastAsia="仿宋"/>
          <w:color w:val="auto"/>
          <w:sz w:val="32"/>
          <w:szCs w:val="32"/>
          <w:highlight w:val="none"/>
          <w:lang w:val="en-US" w:eastAsia="zh-CN"/>
        </w:rPr>
        <w:t>18.29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2022年度支出总计522.82万元（2021年度</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639.81万元），减少116.99万元，</w:t>
      </w:r>
      <w:r>
        <w:rPr>
          <w:rFonts w:hint="eastAsia" w:ascii="仿宋" w:hAnsi="仿宋" w:eastAsia="仿宋"/>
          <w:color w:val="auto"/>
          <w:sz w:val="32"/>
          <w:szCs w:val="32"/>
          <w:highlight w:val="none"/>
        </w:rPr>
        <w:t>下</w:t>
      </w:r>
      <w:r>
        <w:rPr>
          <w:rFonts w:hint="eastAsia" w:ascii="仿宋" w:hAnsi="仿宋" w:eastAsia="仿宋"/>
          <w:color w:val="auto"/>
          <w:sz w:val="32"/>
          <w:szCs w:val="32"/>
          <w:highlight w:val="none"/>
          <w:lang w:eastAsia="zh-CN"/>
        </w:rPr>
        <w:t>降</w:t>
      </w:r>
      <w:r>
        <w:rPr>
          <w:rFonts w:hint="eastAsia" w:ascii="仿宋" w:hAnsi="仿宋" w:eastAsia="仿宋"/>
          <w:color w:val="auto"/>
          <w:sz w:val="32"/>
          <w:szCs w:val="32"/>
          <w:highlight w:val="none"/>
          <w:lang w:val="en-US" w:eastAsia="zh-CN"/>
        </w:rPr>
        <w:t>18.29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人员运行成本减少，二是项目支出减少。</w:t>
      </w:r>
    </w:p>
    <w:p>
      <w:pPr>
        <w:pStyle w:val="11"/>
        <w:rPr>
          <w:rFonts w:hint="eastAsia" w:eastAsia="仿宋_GB2312"/>
          <w:lang w:eastAsia="zh-CN"/>
        </w:rPr>
      </w:pPr>
      <w:r>
        <w:rPr>
          <w:rFonts w:hint="eastAsia" w:eastAsia="仿宋_GB2312"/>
          <w:lang w:eastAsia="zh-CN"/>
        </w:rPr>
        <w:drawing>
          <wp:inline distT="0" distB="0" distL="114300" distR="114300">
            <wp:extent cx="4998085" cy="2515870"/>
            <wp:effectExtent l="4445" t="4445" r="7620"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1"/>
        <w:jc w:val="center"/>
        <w:rPr>
          <w:rFonts w:hint="eastAsia" w:eastAsia="仿宋_GB2312"/>
          <w:lang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35" w:name="_Toc15377206"/>
      <w:bookmarkStart w:id="36" w:name="_Toc15396604"/>
      <w:bookmarkStart w:id="37" w:name="_Toc23597"/>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35"/>
      <w:bookmarkEnd w:id="36"/>
      <w:bookmarkEnd w:id="37"/>
    </w:p>
    <w:p>
      <w:pPr>
        <w:spacing w:line="600" w:lineRule="exact"/>
        <w:ind w:firstLine="640" w:firstLineChars="200"/>
        <w:outlineLvl w:val="1"/>
      </w:pPr>
      <w:bookmarkStart w:id="38" w:name="_Toc2501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522.82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463.18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88.59</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59.53</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11.39</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p>
    <w:p>
      <w:pPr>
        <w:spacing w:line="600" w:lineRule="exact"/>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66040</wp:posOffset>
            </wp:positionH>
            <wp:positionV relativeFrom="paragraph">
              <wp:posOffset>83820</wp:posOffset>
            </wp:positionV>
            <wp:extent cx="5256530" cy="2988310"/>
            <wp:effectExtent l="5080" t="4445" r="15240" b="171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（图2：收入决算结构图）（饼状图）</w:t>
      </w: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39" w:name="_Toc15396605"/>
      <w:bookmarkStart w:id="40" w:name="_Toc15377207"/>
      <w:bookmarkStart w:id="41" w:name="_Toc30504"/>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39"/>
      <w:bookmarkEnd w:id="40"/>
      <w:bookmarkEnd w:id="41"/>
    </w:p>
    <w:p>
      <w:pPr>
        <w:spacing w:line="600" w:lineRule="exact"/>
        <w:ind w:firstLine="640" w:firstLineChars="200"/>
        <w:outlineLvl w:val="1"/>
        <w:rPr>
          <w:rFonts w:ascii="仿宋" w:hAnsi="仿宋" w:eastAsia="仿宋"/>
          <w:color w:val="auto"/>
          <w:sz w:val="32"/>
          <w:szCs w:val="32"/>
          <w:highlight w:val="none"/>
          <w:shd w:val="pct10" w:color="auto" w:fill="FFFFFF"/>
        </w:rPr>
      </w:pPr>
      <w:bookmarkStart w:id="42" w:name="_Toc2845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522.82</w:t>
      </w:r>
      <w:r>
        <w:rPr>
          <w:rFonts w:hint="eastAsia" w:ascii="仿宋" w:hAnsi="仿宋" w:eastAsia="仿宋"/>
          <w:color w:val="auto"/>
          <w:sz w:val="32"/>
          <w:szCs w:val="32"/>
          <w:highlight w:val="none"/>
        </w:rPr>
        <w:t>万元，其中：</w:t>
      </w:r>
      <w:r>
        <w:rPr>
          <w:rFonts w:hint="eastAsia" w:ascii="仿宋" w:hAnsi="仿宋" w:eastAsia="仿宋"/>
          <w:color w:val="auto"/>
          <w:sz w:val="32"/>
          <w:szCs w:val="32"/>
          <w:highlight w:val="none"/>
          <w:lang w:eastAsia="zh-CN"/>
        </w:rPr>
        <w:t>残疾人事业支出</w:t>
      </w:r>
      <w:r>
        <w:rPr>
          <w:rFonts w:hint="eastAsia" w:ascii="仿宋" w:hAnsi="仿宋" w:eastAsia="仿宋"/>
          <w:color w:val="auto"/>
          <w:sz w:val="32"/>
          <w:szCs w:val="32"/>
          <w:highlight w:val="none"/>
          <w:lang w:val="en-US" w:eastAsia="zh-CN"/>
        </w:rPr>
        <w:t>361.05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161.76万</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30.94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2"/>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127000</wp:posOffset>
            </wp:positionH>
            <wp:positionV relativeFrom="paragraph">
              <wp:posOffset>66675</wp:posOffset>
            </wp:positionV>
            <wp:extent cx="5097145" cy="2425700"/>
            <wp:effectExtent l="4445" t="4445" r="22860" b="82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1"/>
          <w:rFonts w:ascii="黑体" w:hAnsi="黑体" w:eastAsia="黑体"/>
          <w:b w:val="0"/>
          <w:color w:val="auto"/>
          <w:highlight w:val="none"/>
        </w:rPr>
      </w:pPr>
      <w:bookmarkStart w:id="43" w:name="_Toc15396606"/>
      <w:bookmarkStart w:id="44" w:name="_Toc15377208"/>
      <w:bookmarkStart w:id="45" w:name="_Toc7891"/>
      <w:r>
        <w:rPr>
          <w:rFonts w:hint="eastAsia" w:ascii="黑体" w:hAnsi="黑体" w:eastAsia="黑体"/>
          <w:color w:val="auto"/>
          <w:sz w:val="32"/>
          <w:szCs w:val="32"/>
          <w:highlight w:val="none"/>
        </w:rPr>
        <w:t>四、财</w:t>
      </w:r>
      <w:r>
        <w:rPr>
          <w:rStyle w:val="31"/>
          <w:rFonts w:hint="eastAsia" w:ascii="黑体" w:hAnsi="黑体" w:eastAsia="黑体"/>
          <w:b w:val="0"/>
          <w:color w:val="auto"/>
          <w:highlight w:val="none"/>
        </w:rPr>
        <w:t>政拨款收入支出决算总体情况说明</w:t>
      </w:r>
      <w:bookmarkEnd w:id="43"/>
      <w:bookmarkEnd w:id="44"/>
      <w:bookmarkEnd w:id="45"/>
    </w:p>
    <w:p>
      <w:pPr>
        <w:pStyle w:val="7"/>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522.71万元，</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rPr>
        <w:t>相比</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117.05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18.30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2022年财政拨款支出522.71万元，</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rPr>
        <w:t>相比</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117.05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18.30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人员运行成本减少，二是项目支出减少。</w:t>
      </w:r>
    </w:p>
    <w:p>
      <w:pPr>
        <w:rPr>
          <w:rFonts w:hint="eastAsia" w:ascii="仿宋" w:hAnsi="仿宋" w:eastAsia="仿宋"/>
          <w:color w:val="auto"/>
          <w:sz w:val="32"/>
          <w:szCs w:val="32"/>
          <w:highlight w:val="none"/>
        </w:rPr>
      </w:pPr>
      <w:r>
        <w:rPr>
          <w:rFonts w:hint="eastAsia" w:eastAsia="仿宋_GB2312"/>
          <w:lang w:eastAsia="zh-CN"/>
        </w:rPr>
        <w:drawing>
          <wp:inline distT="0" distB="0" distL="114300" distR="114300">
            <wp:extent cx="4998085" cy="2515870"/>
            <wp:effectExtent l="4445" t="4445" r="7620"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31"/>
          <w:rFonts w:ascii="黑体" w:hAnsi="黑体" w:eastAsia="黑体"/>
          <w:b w:val="0"/>
          <w:color w:val="auto"/>
          <w:highlight w:val="none"/>
        </w:rPr>
      </w:pPr>
      <w:bookmarkStart w:id="46" w:name="_Toc15377209"/>
      <w:bookmarkStart w:id="47" w:name="_Toc15396607"/>
      <w:bookmarkStart w:id="48" w:name="_Toc1811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auto"/>
          <w:sz w:val="32"/>
          <w:szCs w:val="32"/>
          <w:highlight w:val="none"/>
        </w:rPr>
      </w:pPr>
      <w:bookmarkStart w:id="49" w:name="_Toc15377210"/>
      <w:bookmarkStart w:id="50" w:name="_Toc28710"/>
      <w:r>
        <w:rPr>
          <w:rFonts w:hint="eastAsia" w:ascii="仿宋" w:hAnsi="仿宋" w:eastAsia="仿宋"/>
          <w:b/>
          <w:color w:val="auto"/>
          <w:sz w:val="32"/>
          <w:szCs w:val="32"/>
          <w:highlight w:val="none"/>
        </w:rPr>
        <w:t>（一）一般公共预算财政拨款支出决算总体情况</w:t>
      </w:r>
      <w:bookmarkEnd w:id="49"/>
      <w:bookmarkEnd w:id="50"/>
    </w:p>
    <w:p>
      <w:pPr>
        <w:spacing w:line="600" w:lineRule="exact"/>
        <w:ind w:firstLine="420" w:firstLineChars="200"/>
        <w:rPr>
          <w:rFonts w:hint="eastAsia" w:ascii="仿宋" w:hAnsi="仿宋" w:eastAsia="仿宋"/>
          <w:color w:val="auto"/>
          <w:sz w:val="32"/>
          <w:szCs w:val="32"/>
          <w:highlight w:val="none"/>
        </w:rPr>
      </w:pPr>
      <w:r>
        <w:rPr>
          <w:rFonts w:hint="eastAsia" w:eastAsia="仿宋_GB2312"/>
          <w:lang w:eastAsia="zh-CN"/>
        </w:rPr>
        <w:drawing>
          <wp:anchor distT="0" distB="0" distL="114300" distR="114300" simplePos="0" relativeHeight="251662336" behindDoc="0" locked="0" layoutInCell="1" allowOverlap="1">
            <wp:simplePos x="0" y="0"/>
            <wp:positionH relativeFrom="column">
              <wp:posOffset>-3175</wp:posOffset>
            </wp:positionH>
            <wp:positionV relativeFrom="paragraph">
              <wp:posOffset>1555750</wp:posOffset>
            </wp:positionV>
            <wp:extent cx="5149850" cy="2012950"/>
            <wp:effectExtent l="4445" t="4445" r="8255" b="209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463.18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102.55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18.13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项目支出减少。</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51" w:name="_Toc15377211"/>
      <w:bookmarkStart w:id="52" w:name="_Toc32195"/>
      <w:r>
        <w:rPr>
          <w:rFonts w:hint="eastAsia" w:ascii="仿宋" w:hAnsi="仿宋" w:eastAsia="仿宋"/>
          <w:b/>
          <w:color w:val="auto"/>
          <w:sz w:val="32"/>
          <w:szCs w:val="32"/>
          <w:highlight w:val="none"/>
        </w:rPr>
        <w:t>（二）一般公共预算财政拨款支出决算结构情况</w:t>
      </w:r>
      <w:bookmarkEnd w:id="51"/>
      <w:bookmarkEnd w:id="5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463.18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社会保障和就业支出</w:t>
      </w:r>
      <w:r>
        <w:rPr>
          <w:rFonts w:hint="eastAsia" w:ascii="仿宋" w:hAnsi="仿宋" w:eastAsia="仿宋"/>
          <w:color w:val="auto"/>
          <w:sz w:val="32"/>
          <w:szCs w:val="32"/>
          <w:highlight w:val="none"/>
          <w:lang w:val="en-US" w:eastAsia="zh-CN"/>
        </w:rPr>
        <w:t>436.72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卫生健康支出</w:t>
      </w:r>
      <w:r>
        <w:rPr>
          <w:rFonts w:hint="eastAsia" w:ascii="仿宋" w:hAnsi="仿宋" w:eastAsia="仿宋"/>
          <w:color w:val="auto"/>
          <w:sz w:val="32"/>
          <w:szCs w:val="32"/>
          <w:highlight w:val="none"/>
          <w:lang w:val="en-US" w:eastAsia="zh-CN"/>
        </w:rPr>
        <w:t>5.92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农林水支出</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s="Times New Roman"/>
          <w:color w:val="auto"/>
          <w:sz w:val="32"/>
          <w:szCs w:val="32"/>
          <w:highlight w:val="none"/>
          <w:lang w:val="en-US" w:eastAsia="zh-CN"/>
        </w:rPr>
        <w:t>11.54万元，占2.49%。</w:t>
      </w:r>
    </w:p>
    <w:p>
      <w:pPr>
        <w:spacing w:line="60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-3175</wp:posOffset>
            </wp:positionH>
            <wp:positionV relativeFrom="paragraph">
              <wp:posOffset>50165</wp:posOffset>
            </wp:positionV>
            <wp:extent cx="5097145" cy="2425700"/>
            <wp:effectExtent l="4445" t="4445" r="22860" b="8255"/>
            <wp:wrapTight wrapText="bothSides">
              <wp:wrapPolygon>
                <wp:start x="-19" y="-40"/>
                <wp:lineTo x="-19" y="21504"/>
                <wp:lineTo x="21535" y="21504"/>
                <wp:lineTo x="21535" y="-40"/>
                <wp:lineTo x="-19" y="-4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53" w:name="_Toc15377212"/>
      <w:bookmarkStart w:id="54" w:name="_Toc12141"/>
      <w:r>
        <w:rPr>
          <w:rFonts w:hint="eastAsia" w:ascii="仿宋" w:hAnsi="仿宋" w:eastAsia="仿宋"/>
          <w:b/>
          <w:color w:val="auto"/>
          <w:sz w:val="32"/>
          <w:szCs w:val="32"/>
          <w:highlight w:val="none"/>
        </w:rPr>
        <w:t>（三）一般公共预算财政拨款支出决算具体情况</w:t>
      </w:r>
      <w:bookmarkEnd w:id="53"/>
      <w:bookmarkEnd w:id="54"/>
    </w:p>
    <w:p>
      <w:pPr>
        <w:spacing w:line="600" w:lineRule="exact"/>
        <w:ind w:firstLine="643" w:firstLineChars="200"/>
        <w:outlineLvl w:val="2"/>
        <w:rPr>
          <w:rFonts w:hint="eastAsia" w:ascii="仿宋" w:hAnsi="仿宋" w:eastAsia="仿宋_GB2312"/>
          <w:color w:val="auto"/>
          <w:sz w:val="32"/>
          <w:szCs w:val="32"/>
          <w:highlight w:val="none"/>
          <w:lang w:eastAsia="zh-CN"/>
        </w:rPr>
      </w:pPr>
      <w:bookmarkStart w:id="55" w:name="_Toc15378460"/>
      <w:bookmarkStart w:id="56" w:name="_Toc15377444"/>
      <w:bookmarkStart w:id="57" w:name="_Toc15377213"/>
      <w:bookmarkStart w:id="58" w:name="_Toc2556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463.18万元，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w:t>
      </w:r>
      <w:r>
        <w:rPr>
          <w:rFonts w:hint="eastAsia" w:ascii="仿宋_GB2312" w:hAnsi="Times New Roman" w:eastAsia="仿宋_GB2312" w:cs="Times New Roman"/>
          <w:color w:val="auto"/>
          <w:sz w:val="32"/>
          <w:szCs w:val="32"/>
          <w:highlight w:val="none"/>
        </w:rPr>
        <w:t>其中：</w:t>
      </w:r>
      <w:bookmarkEnd w:id="55"/>
      <w:bookmarkEnd w:id="56"/>
      <w:bookmarkEnd w:id="57"/>
      <w:r>
        <w:rPr>
          <w:rFonts w:hint="eastAsia" w:ascii="仿宋_GB2312" w:hAnsi="Times New Roman" w:eastAsia="仿宋_GB2312" w:cs="Times New Roman"/>
          <w:color w:val="auto"/>
          <w:sz w:val="32"/>
          <w:szCs w:val="32"/>
          <w:highlight w:val="none"/>
        </w:rPr>
        <w:t>社会保障和就业</w:t>
      </w:r>
      <w:r>
        <w:rPr>
          <w:rFonts w:hint="eastAsia" w:ascii="仿宋_GB2312" w:hAnsi="Times New Roman" w:eastAsia="仿宋_GB2312" w:cs="Times New Roman"/>
          <w:color w:val="auto"/>
          <w:sz w:val="32"/>
          <w:szCs w:val="32"/>
          <w:highlight w:val="none"/>
          <w:lang w:val="en-US" w:eastAsia="zh-CN"/>
        </w:rPr>
        <w:t>208</w:t>
      </w:r>
      <w:r>
        <w:rPr>
          <w:rFonts w:hint="eastAsia" w:ascii="仿宋_GB2312" w:hAnsi="Times New Roman" w:eastAsia="仿宋_GB2312" w:cs="Times New Roman"/>
          <w:color w:val="auto"/>
          <w:sz w:val="32"/>
          <w:szCs w:val="32"/>
          <w:highlight w:val="none"/>
        </w:rPr>
        <w:t>（类）20805</w:t>
      </w:r>
      <w:r>
        <w:rPr>
          <w:rFonts w:hint="eastAsia" w:ascii="仿宋_GB2312" w:hAnsi="Times New Roman" w:eastAsia="仿宋_GB2312" w:cs="Times New Roman"/>
          <w:color w:val="auto"/>
          <w:sz w:val="32"/>
          <w:szCs w:val="32"/>
          <w:highlight w:val="none"/>
          <w:lang w:eastAsia="zh-CN"/>
        </w:rPr>
        <w:t>款</w:t>
      </w:r>
      <w:bookmarkEnd w:id="58"/>
    </w:p>
    <w:p>
      <w:pPr>
        <w:numPr>
          <w:ilvl w:val="0"/>
          <w:numId w:val="3"/>
        </w:numPr>
        <w:ind w:firstLine="643" w:firstLineChars="200"/>
        <w:rPr>
          <w:rFonts w:hint="default"/>
          <w:lang w:val="en-US" w:eastAsia="zh-CN"/>
        </w:rPr>
      </w:pPr>
      <w:r>
        <w:rPr>
          <w:rStyle w:val="18"/>
          <w:rFonts w:hint="eastAsia" w:ascii="仿宋" w:hAnsi="仿宋" w:eastAsia="仿宋"/>
          <w:bCs/>
          <w:color w:val="auto"/>
          <w:sz w:val="32"/>
          <w:szCs w:val="32"/>
          <w:highlight w:val="none"/>
        </w:rPr>
        <w:t>社会保障和就业支出（</w:t>
      </w:r>
      <w:r>
        <w:rPr>
          <w:rStyle w:val="18"/>
          <w:rFonts w:hint="eastAsia" w:ascii="仿宋" w:hAnsi="仿宋" w:eastAsia="仿宋"/>
          <w:bCs/>
          <w:color w:val="auto"/>
          <w:sz w:val="32"/>
          <w:szCs w:val="32"/>
          <w:highlight w:val="none"/>
          <w:lang w:val="en-US" w:eastAsia="zh-CN"/>
        </w:rPr>
        <w:t>208</w:t>
      </w:r>
      <w:r>
        <w:rPr>
          <w:rStyle w:val="18"/>
          <w:rFonts w:hint="eastAsia" w:ascii="仿宋" w:hAnsi="仿宋" w:eastAsia="仿宋"/>
          <w:bCs/>
          <w:color w:val="auto"/>
          <w:sz w:val="32"/>
          <w:szCs w:val="32"/>
          <w:highlight w:val="none"/>
        </w:rPr>
        <w:t>类）</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436.71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。其中：</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行政事业单位基本养老保险缴费支出05</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支出决算数为10.61万元，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行政事业单位职业年金缴费支出06</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支出决算数为4.36万元；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行政运行01</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支出决算数为108.9万元；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机关服务03</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支出决算数为19.82万元；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残疾人康复04</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支出决算数为12.4万元；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残疾人就业05</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支出决算数为23.03万元；社会保障和就业208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残疾人事业11（款）99（项）：支出决算数为227.1万元；社会保障和就业208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残疾人事业99（款）其他社会保障和就业99（项）支出决算数为30.5万元。</w:t>
      </w:r>
    </w:p>
    <w:p>
      <w:pPr>
        <w:numPr>
          <w:ilvl w:val="0"/>
          <w:numId w:val="0"/>
        </w:numPr>
        <w:spacing w:line="60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cs="Times New Roman"/>
          <w:b/>
          <w:bCs/>
          <w:color w:val="auto"/>
          <w:sz w:val="32"/>
          <w:szCs w:val="32"/>
          <w:highlight w:val="none"/>
          <w:lang w:val="en-US" w:eastAsia="zh-CN"/>
        </w:rPr>
        <w:t>2.</w:t>
      </w:r>
      <w:r>
        <w:rPr>
          <w:rFonts w:hint="eastAsia" w:ascii="仿宋" w:hAnsi="仿宋" w:eastAsia="仿宋" w:cs="Times New Roman"/>
          <w:b/>
          <w:bCs/>
          <w:color w:val="auto"/>
          <w:sz w:val="32"/>
          <w:szCs w:val="32"/>
          <w:highlight w:val="none"/>
        </w:rPr>
        <w:t>卫生健</w:t>
      </w:r>
      <w:r>
        <w:rPr>
          <w:rFonts w:hint="eastAsia" w:ascii="仿宋" w:hAnsi="仿宋" w:eastAsia="仿宋"/>
          <w:b/>
          <w:bCs/>
          <w:color w:val="auto"/>
          <w:sz w:val="32"/>
          <w:szCs w:val="32"/>
          <w:highlight w:val="none"/>
        </w:rPr>
        <w:t>康</w:t>
      </w:r>
      <w:r>
        <w:rPr>
          <w:rFonts w:hint="eastAsia" w:ascii="仿宋" w:hAnsi="仿宋" w:eastAsia="仿宋"/>
          <w:b/>
          <w:bCs/>
          <w:color w:val="auto"/>
          <w:sz w:val="32"/>
          <w:szCs w:val="32"/>
          <w:highlight w:val="none"/>
          <w:lang w:eastAsia="zh-CN"/>
        </w:rPr>
        <w:t>支出</w:t>
      </w:r>
      <w:r>
        <w:rPr>
          <w:rFonts w:hint="eastAsia" w:ascii="仿宋" w:hAnsi="仿宋" w:eastAsia="仿宋"/>
          <w:b/>
          <w:bCs/>
          <w:color w:val="auto"/>
          <w:sz w:val="32"/>
          <w:szCs w:val="32"/>
          <w:highlight w:val="none"/>
          <w:lang w:val="en-US" w:eastAsia="zh-CN"/>
        </w:rPr>
        <w:t>210（类）</w:t>
      </w:r>
      <w:r>
        <w:rPr>
          <w:rFonts w:hint="eastAsia" w:ascii="仿宋_GB2312" w:hAnsi="Times New Roman" w:eastAsia="仿宋_GB2312" w:cs="Times New Roman"/>
          <w:b/>
          <w:bCs/>
          <w:color w:val="auto"/>
          <w:kern w:val="2"/>
          <w:sz w:val="32"/>
          <w:szCs w:val="32"/>
          <w:highlight w:val="none"/>
          <w:lang w:val="en-US" w:eastAsia="zh-CN" w:bidi="ar-SA"/>
        </w:rPr>
        <w:t>行政事业单位医疗</w:t>
      </w:r>
      <w:r>
        <w:rPr>
          <w:rFonts w:hint="eastAsia" w:ascii="仿宋" w:hAnsi="仿宋" w:eastAsia="仿宋"/>
          <w:b/>
          <w:bCs/>
          <w:color w:val="auto"/>
          <w:sz w:val="32"/>
          <w:szCs w:val="32"/>
          <w:highlight w:val="none"/>
          <w:lang w:val="en-US" w:eastAsia="zh-CN"/>
        </w:rPr>
        <w:t>11（款）</w:t>
      </w:r>
      <w:r>
        <w:rPr>
          <w:rFonts w:hint="eastAsia" w:ascii="仿宋" w:hAnsi="仿宋" w:eastAsia="仿宋"/>
          <w:b w:val="0"/>
          <w:bCs w:val="0"/>
          <w:color w:val="auto"/>
          <w:sz w:val="32"/>
          <w:szCs w:val="32"/>
          <w:highlight w:val="none"/>
          <w:lang w:val="en-US" w:eastAsia="zh-CN"/>
        </w:rPr>
        <w:t>支出5.92万元，完成预算100%，</w:t>
      </w:r>
      <w:r>
        <w:rPr>
          <w:rStyle w:val="18"/>
          <w:rFonts w:hint="eastAsia" w:ascii="仿宋" w:hAnsi="仿宋" w:eastAsia="仿宋"/>
          <w:b w:val="0"/>
          <w:bCs w:val="0"/>
          <w:color w:val="auto"/>
          <w:sz w:val="32"/>
          <w:szCs w:val="32"/>
          <w:highlight w:val="none"/>
        </w:rPr>
        <w:t>决算数</w:t>
      </w:r>
      <w:r>
        <w:rPr>
          <w:rStyle w:val="18"/>
          <w:rFonts w:hint="eastAsia" w:ascii="仿宋" w:hAnsi="仿宋" w:eastAsia="仿宋"/>
          <w:b w:val="0"/>
          <w:bCs w:val="0"/>
          <w:color w:val="auto"/>
          <w:sz w:val="32"/>
          <w:szCs w:val="32"/>
          <w:highlight w:val="none"/>
          <w:lang w:eastAsia="zh-CN"/>
        </w:rPr>
        <w:t>等</w:t>
      </w:r>
      <w:r>
        <w:rPr>
          <w:rStyle w:val="18"/>
          <w:rFonts w:hint="eastAsia" w:ascii="仿宋" w:hAnsi="仿宋" w:eastAsia="仿宋"/>
          <w:b w:val="0"/>
          <w:bCs w:val="0"/>
          <w:color w:val="auto"/>
          <w:sz w:val="32"/>
          <w:szCs w:val="32"/>
          <w:highlight w:val="none"/>
        </w:rPr>
        <w:t>于预算数。</w:t>
      </w:r>
    </w:p>
    <w:p>
      <w:pPr>
        <w:spacing w:line="600" w:lineRule="exact"/>
        <w:ind w:firstLine="640"/>
        <w:rPr>
          <w:rStyle w:val="18"/>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3.农林水</w:t>
      </w:r>
      <w:r>
        <w:rPr>
          <w:rFonts w:hint="eastAsia" w:ascii="仿宋_GB2312" w:hAnsi="Times New Roman" w:eastAsia="仿宋_GB2312" w:cs="Times New Roman"/>
          <w:b/>
          <w:bCs/>
          <w:color w:val="auto"/>
          <w:kern w:val="2"/>
          <w:sz w:val="32"/>
          <w:szCs w:val="32"/>
          <w:highlight w:val="none"/>
          <w:lang w:val="en-US" w:eastAsia="zh-CN" w:bidi="ar-SA"/>
        </w:rPr>
        <w:t>213（类）</w:t>
      </w:r>
      <w:r>
        <w:rPr>
          <w:rFonts w:hint="eastAsia" w:ascii="仿宋_GB2312" w:eastAsia="仿宋_GB2312" w:cs="Times New Roman"/>
          <w:b/>
          <w:bCs/>
          <w:color w:val="auto"/>
          <w:kern w:val="2"/>
          <w:sz w:val="32"/>
          <w:szCs w:val="32"/>
          <w:highlight w:val="none"/>
          <w:lang w:val="en-US" w:eastAsia="zh-CN" w:bidi="ar-SA"/>
        </w:rPr>
        <w:t>巩固脱贫衔接乡村振兴</w:t>
      </w:r>
      <w:r>
        <w:rPr>
          <w:rFonts w:hint="eastAsia" w:ascii="仿宋_GB2312" w:hAnsi="Times New Roman" w:eastAsia="仿宋_GB2312" w:cs="Times New Roman"/>
          <w:b/>
          <w:bCs/>
          <w:color w:val="auto"/>
          <w:kern w:val="2"/>
          <w:sz w:val="32"/>
          <w:szCs w:val="32"/>
          <w:highlight w:val="none"/>
          <w:lang w:val="en-US" w:eastAsia="zh-CN" w:bidi="ar-SA"/>
        </w:rPr>
        <w:t>05（款）</w:t>
      </w:r>
      <w:r>
        <w:rPr>
          <w:rFonts w:hint="eastAsia" w:ascii="仿宋_GB2312" w:eastAsia="仿宋_GB2312" w:cs="Times New Roman"/>
          <w:b/>
          <w:bCs/>
          <w:color w:val="auto"/>
          <w:kern w:val="2"/>
          <w:sz w:val="32"/>
          <w:szCs w:val="32"/>
          <w:highlight w:val="none"/>
          <w:lang w:val="en-US" w:eastAsia="zh-CN" w:bidi="ar-SA"/>
        </w:rPr>
        <w:t>社会发展</w:t>
      </w:r>
      <w:r>
        <w:rPr>
          <w:rFonts w:hint="eastAsia" w:ascii="仿宋_GB2312" w:hAnsi="Times New Roman" w:eastAsia="仿宋_GB2312" w:cs="Times New Roman"/>
          <w:b/>
          <w:bCs/>
          <w:color w:val="auto"/>
          <w:kern w:val="2"/>
          <w:sz w:val="32"/>
          <w:szCs w:val="32"/>
          <w:highlight w:val="none"/>
          <w:lang w:val="en-US" w:eastAsia="zh-CN" w:bidi="ar-SA"/>
        </w:rPr>
        <w:t>06（项）</w:t>
      </w:r>
      <w:r>
        <w:rPr>
          <w:rStyle w:val="18"/>
          <w:rFonts w:hint="eastAsia" w:ascii="仿宋" w:hAnsi="仿宋" w:eastAsia="仿宋"/>
          <w:bCs/>
          <w:color w:val="auto"/>
          <w:sz w:val="32"/>
          <w:szCs w:val="32"/>
          <w:highlight w:val="none"/>
          <w:lang w:eastAsia="zh-CN"/>
        </w:rPr>
        <w:t>：</w:t>
      </w:r>
      <w:r>
        <w:rPr>
          <w:rFonts w:hint="eastAsia" w:ascii="仿宋" w:hAnsi="仿宋" w:eastAsia="仿宋"/>
          <w:color w:val="auto"/>
          <w:sz w:val="32"/>
          <w:szCs w:val="32"/>
          <w:highlight w:val="none"/>
          <w:lang w:val="en-US" w:eastAsia="zh-CN"/>
        </w:rPr>
        <w:t>支出9万元，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w:t>
      </w:r>
      <w:r>
        <w:rPr>
          <w:rStyle w:val="18"/>
          <w:rFonts w:hint="eastAsia" w:ascii="仿宋" w:hAnsi="仿宋" w:eastAsia="仿宋"/>
          <w:b w:val="0"/>
          <w:bCs/>
          <w:color w:val="auto"/>
          <w:sz w:val="32"/>
          <w:szCs w:val="32"/>
          <w:highlight w:val="none"/>
        </w:rPr>
        <w:t>于预算数。</w:t>
      </w:r>
    </w:p>
    <w:p>
      <w:pPr>
        <w:spacing w:line="600" w:lineRule="exact"/>
        <w:ind w:firstLine="640" w:firstLineChars="200"/>
        <w:rPr>
          <w:rFonts w:ascii="仿宋" w:hAnsi="仿宋" w:eastAsia="仿宋"/>
          <w:b/>
          <w:color w:val="auto"/>
          <w:sz w:val="32"/>
          <w:szCs w:val="32"/>
          <w:highlight w:val="none"/>
        </w:rPr>
      </w:pPr>
      <w:r>
        <w:rPr>
          <w:rStyle w:val="18"/>
          <w:rFonts w:hint="eastAsia" w:ascii="仿宋" w:hAnsi="仿宋" w:eastAsia="仿宋"/>
          <w:b w:val="0"/>
          <w:bCs/>
          <w:color w:val="auto"/>
          <w:sz w:val="32"/>
          <w:szCs w:val="32"/>
          <w:highlight w:val="none"/>
          <w:lang w:val="en-US" w:eastAsia="zh-CN"/>
        </w:rPr>
        <w:t>4.</w:t>
      </w:r>
      <w:r>
        <w:rPr>
          <w:rFonts w:hint="eastAsia" w:ascii="仿宋" w:hAnsi="仿宋" w:eastAsia="仿宋"/>
          <w:b/>
          <w:bCs/>
          <w:color w:val="auto"/>
          <w:sz w:val="32"/>
          <w:szCs w:val="32"/>
          <w:highlight w:val="none"/>
        </w:rPr>
        <w:t>住房保障</w:t>
      </w:r>
      <w:r>
        <w:rPr>
          <w:rFonts w:hint="eastAsia" w:ascii="仿宋" w:hAnsi="仿宋" w:eastAsia="仿宋"/>
          <w:b/>
          <w:bCs/>
          <w:color w:val="auto"/>
          <w:sz w:val="32"/>
          <w:szCs w:val="32"/>
          <w:highlight w:val="none"/>
          <w:lang w:eastAsia="zh-CN"/>
        </w:rPr>
        <w:t>支出</w:t>
      </w:r>
      <w:r>
        <w:rPr>
          <w:rFonts w:hint="eastAsia" w:ascii="仿宋" w:hAnsi="仿宋" w:eastAsia="仿宋"/>
          <w:b/>
          <w:bCs/>
          <w:color w:val="auto"/>
          <w:sz w:val="32"/>
          <w:szCs w:val="32"/>
          <w:highlight w:val="none"/>
          <w:lang w:val="en-US" w:eastAsia="zh-CN"/>
        </w:rPr>
        <w:t>221（类）住房改革支出</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住房公积金01</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11.54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w:t>
      </w:r>
      <w:r>
        <w:rPr>
          <w:rStyle w:val="18"/>
          <w:rFonts w:hint="eastAsia" w:ascii="仿宋" w:hAnsi="仿宋" w:eastAsia="仿宋"/>
          <w:b w:val="0"/>
          <w:bCs/>
          <w:color w:val="auto"/>
          <w:sz w:val="32"/>
          <w:szCs w:val="32"/>
          <w:highlight w:val="none"/>
        </w:rPr>
        <w:t>于预算数。</w:t>
      </w:r>
    </w:p>
    <w:p>
      <w:pPr>
        <w:tabs>
          <w:tab w:val="right" w:pos="8306"/>
        </w:tabs>
        <w:spacing w:line="600" w:lineRule="exact"/>
        <w:ind w:firstLine="640"/>
        <w:outlineLvl w:val="1"/>
        <w:rPr>
          <w:rStyle w:val="31"/>
          <w:color w:val="auto"/>
          <w:highlight w:val="none"/>
        </w:rPr>
      </w:pPr>
      <w:bookmarkStart w:id="59" w:name="_Toc15396608"/>
      <w:bookmarkStart w:id="60" w:name="_Toc15377214"/>
      <w:bookmarkStart w:id="61" w:name="_Toc8060"/>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般公共预算财政拨款基本支出决算情况说明</w:t>
      </w:r>
      <w:bookmarkEnd w:id="59"/>
      <w:bookmarkEnd w:id="60"/>
      <w:bookmarkEnd w:id="61"/>
      <w:r>
        <w:rPr>
          <w:rStyle w:val="31"/>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463.18万元，其中</w:t>
      </w:r>
      <w:r>
        <w:rPr>
          <w:rFonts w:hint="eastAsia" w:ascii="仿宋" w:hAnsi="仿宋" w:eastAsia="仿宋"/>
          <w:color w:val="auto"/>
          <w:sz w:val="32"/>
          <w:szCs w:val="32"/>
          <w:highlight w:val="none"/>
        </w:rPr>
        <w:t>基本支出</w:t>
      </w:r>
      <w:r>
        <w:rPr>
          <w:rFonts w:hint="eastAsia" w:ascii="仿宋" w:hAnsi="仿宋" w:eastAsia="仿宋"/>
          <w:color w:val="auto"/>
          <w:sz w:val="32"/>
          <w:szCs w:val="32"/>
          <w:highlight w:val="none"/>
          <w:lang w:val="en-US" w:eastAsia="zh-CN"/>
        </w:rPr>
        <w:t>161.66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项目支出</w:t>
      </w:r>
      <w:r>
        <w:rPr>
          <w:rFonts w:hint="eastAsia" w:ascii="仿宋" w:hAnsi="仿宋" w:eastAsia="仿宋"/>
          <w:color w:val="auto"/>
          <w:sz w:val="32"/>
          <w:szCs w:val="32"/>
          <w:highlight w:val="none"/>
          <w:lang w:val="en-US" w:eastAsia="zh-CN"/>
        </w:rPr>
        <w:t>301.52万元。</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1.基本支出161.66万元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145.14</w:t>
      </w:r>
      <w:r>
        <w:rPr>
          <w:rFonts w:hint="eastAsia" w:ascii="仿宋" w:hAnsi="仿宋" w:eastAsia="仿宋"/>
          <w:color w:val="auto"/>
          <w:sz w:val="32"/>
          <w:szCs w:val="32"/>
          <w:highlight w:val="none"/>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16.52</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numPr>
          <w:ilvl w:val="0"/>
          <w:numId w:val="0"/>
        </w:num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项目支出</w:t>
      </w:r>
      <w:r>
        <w:rPr>
          <w:rFonts w:hint="eastAsia" w:ascii="仿宋" w:hAnsi="仿宋" w:eastAsia="仿宋"/>
          <w:color w:val="auto"/>
          <w:sz w:val="32"/>
          <w:szCs w:val="32"/>
          <w:highlight w:val="none"/>
          <w:lang w:val="en-US" w:eastAsia="zh-CN"/>
        </w:rPr>
        <w:t>301.52万元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主要包括：残疾人康复、残疾人、残疾人就业、其他残疾人事业支出、巩固脱贫衔接乡村振兴支出等。</w:t>
      </w:r>
    </w:p>
    <w:p>
      <w:pPr>
        <w:spacing w:line="600" w:lineRule="exact"/>
        <w:ind w:firstLine="640"/>
        <w:outlineLvl w:val="1"/>
        <w:rPr>
          <w:rStyle w:val="31"/>
          <w:rFonts w:ascii="黑体" w:hAnsi="黑体" w:eastAsia="黑体"/>
          <w:b w:val="0"/>
          <w:color w:val="auto"/>
          <w:highlight w:val="none"/>
        </w:rPr>
      </w:pPr>
      <w:bookmarkStart w:id="62" w:name="_Toc15396609"/>
      <w:bookmarkStart w:id="63" w:name="_Toc15377215"/>
      <w:bookmarkStart w:id="64" w:name="_Toc581"/>
      <w:r>
        <w:rPr>
          <w:rFonts w:hint="eastAsia" w:ascii="黑体" w:eastAsia="黑体"/>
          <w:color w:val="auto"/>
          <w:sz w:val="32"/>
          <w:szCs w:val="32"/>
          <w:highlight w:val="none"/>
        </w:rPr>
        <w:t>七、</w:t>
      </w:r>
      <w:r>
        <w:rPr>
          <w:rStyle w:val="31"/>
          <w:rFonts w:hint="eastAsia" w:ascii="黑体" w:hAnsi="黑体" w:eastAsia="黑体"/>
          <w:b w:val="0"/>
          <w:color w:val="auto"/>
          <w:highlight w:val="none"/>
        </w:rPr>
        <w:t>财政拨款</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三公”经费支出决算情况说明</w:t>
      </w:r>
      <w:bookmarkEnd w:id="62"/>
      <w:bookmarkEnd w:id="63"/>
      <w:bookmarkEnd w:id="64"/>
    </w:p>
    <w:p>
      <w:pPr>
        <w:spacing w:line="600" w:lineRule="exact"/>
        <w:ind w:firstLine="640"/>
        <w:outlineLvl w:val="2"/>
        <w:rPr>
          <w:rFonts w:ascii="仿宋" w:hAnsi="仿宋" w:eastAsia="仿宋"/>
          <w:b/>
          <w:color w:val="auto"/>
          <w:sz w:val="32"/>
          <w:szCs w:val="32"/>
          <w:highlight w:val="none"/>
        </w:rPr>
      </w:pPr>
      <w:bookmarkStart w:id="65" w:name="_Toc15377216"/>
      <w:bookmarkStart w:id="66" w:name="_Toc30625"/>
      <w:r>
        <w:rPr>
          <w:rFonts w:hint="eastAsia" w:ascii="仿宋" w:hAnsi="仿宋" w:eastAsia="仿宋"/>
          <w:b/>
          <w:color w:val="auto"/>
          <w:sz w:val="32"/>
          <w:szCs w:val="32"/>
          <w:highlight w:val="none"/>
        </w:rPr>
        <w:t>（一）“三公”经费财政拨款支出决算总体情况说明</w:t>
      </w:r>
      <w:bookmarkEnd w:id="65"/>
      <w:bookmarkEnd w:id="6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0.94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减少0.03万元，下降3.1%。</w:t>
      </w:r>
    </w:p>
    <w:p>
      <w:pPr>
        <w:spacing w:line="600" w:lineRule="exact"/>
        <w:ind w:firstLine="640"/>
        <w:outlineLvl w:val="2"/>
        <w:rPr>
          <w:rFonts w:ascii="仿宋" w:hAnsi="仿宋" w:eastAsia="仿宋"/>
          <w:b/>
          <w:color w:val="auto"/>
          <w:sz w:val="32"/>
          <w:szCs w:val="32"/>
          <w:highlight w:val="none"/>
        </w:rPr>
      </w:pPr>
      <w:bookmarkStart w:id="67" w:name="_Toc15377217"/>
      <w:bookmarkStart w:id="68" w:name="_Toc25171"/>
      <w:r>
        <w:rPr>
          <w:rFonts w:hint="eastAsia" w:ascii="仿宋" w:hAnsi="仿宋" w:eastAsia="仿宋"/>
          <w:b/>
          <w:color w:val="auto"/>
          <w:sz w:val="32"/>
          <w:szCs w:val="32"/>
          <w:highlight w:val="none"/>
        </w:rPr>
        <w:t>（二）“三公”经费财政拨款支出决算具体情况说明</w:t>
      </w:r>
      <w:bookmarkEnd w:id="67"/>
      <w:bookmarkEnd w:id="68"/>
    </w:p>
    <w:p>
      <w:pPr>
        <w:spacing w:line="600" w:lineRule="exact"/>
        <w:ind w:firstLine="640"/>
        <w:rPr>
          <w:rFonts w:hint="eastAsia"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2336" behindDoc="1" locked="0" layoutInCell="1" allowOverlap="1">
            <wp:simplePos x="0" y="0"/>
            <wp:positionH relativeFrom="column">
              <wp:posOffset>149225</wp:posOffset>
            </wp:positionH>
            <wp:positionV relativeFrom="paragraph">
              <wp:posOffset>1518920</wp:posOffset>
            </wp:positionV>
            <wp:extent cx="5097145" cy="2425700"/>
            <wp:effectExtent l="4445" t="4445" r="22860" b="8255"/>
            <wp:wrapTight wrapText="bothSides">
              <wp:wrapPolygon>
                <wp:start x="-19" y="-40"/>
                <wp:lineTo x="-19" y="21504"/>
                <wp:lineTo x="21535" y="21504"/>
                <wp:lineTo x="21535" y="-40"/>
                <wp:lineTo x="-19" y="-40"/>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11"/>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bookmarkStart w:id="69" w:name="_Toc15396610"/>
      <w:bookmarkStart w:id="70" w:name="_Toc15377218"/>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640"/>
        <w:outlineLvl w:val="1"/>
        <w:rPr>
          <w:rFonts w:hint="eastAsia" w:ascii="仿宋_GB2312" w:eastAsia="仿宋_GB2312"/>
          <w:color w:val="auto"/>
          <w:sz w:val="32"/>
          <w:szCs w:val="32"/>
          <w:highlight w:val="none"/>
        </w:rPr>
      </w:pPr>
      <w:bookmarkStart w:id="71" w:name="_Toc5656"/>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0.94</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3.09</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bookmarkEnd w:id="71"/>
    </w:p>
    <w:p>
      <w:pPr>
        <w:spacing w:line="600" w:lineRule="exact"/>
        <w:ind w:firstLine="640"/>
        <w:outlineLvl w:val="1"/>
        <w:rPr>
          <w:rStyle w:val="31"/>
          <w:rFonts w:ascii="黑体" w:hAnsi="黑体" w:eastAsia="黑体"/>
          <w:color w:val="auto"/>
          <w:highlight w:val="none"/>
        </w:rPr>
      </w:pPr>
      <w:bookmarkStart w:id="72" w:name="_Toc25258"/>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69"/>
      <w:bookmarkEnd w:id="70"/>
      <w:bookmarkEnd w:id="7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59.53</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1"/>
          <w:rFonts w:ascii="黑体" w:hAnsi="黑体" w:eastAsia="黑体"/>
          <w:b w:val="0"/>
          <w:color w:val="auto"/>
          <w:highlight w:val="none"/>
        </w:rPr>
      </w:pPr>
      <w:bookmarkStart w:id="73" w:name="_Toc15377219"/>
      <w:bookmarkStart w:id="74" w:name="_Toc15396611"/>
      <w:bookmarkStart w:id="75" w:name="_Toc15104"/>
      <w:r>
        <w:rPr>
          <w:rStyle w:val="31"/>
          <w:rFonts w:hint="eastAsia" w:ascii="黑体" w:hAnsi="黑体" w:eastAsia="黑体"/>
          <w:b w:val="0"/>
          <w:color w:val="auto"/>
          <w:highlight w:val="none"/>
        </w:rPr>
        <w:t>国有资本经营预算支出决算情况说明</w:t>
      </w:r>
      <w:bookmarkEnd w:id="73"/>
      <w:bookmarkEnd w:id="74"/>
      <w:bookmarkEnd w:id="75"/>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1"/>
          <w:rFonts w:hint="eastAsia" w:ascii="黑体" w:hAnsi="黑体" w:eastAsia="黑体"/>
          <w:b w:val="0"/>
          <w:color w:val="auto"/>
          <w:highlight w:val="none"/>
        </w:rPr>
      </w:pPr>
      <w:bookmarkStart w:id="76" w:name="_Toc15377221"/>
      <w:bookmarkStart w:id="77" w:name="_Toc15396612"/>
      <w:bookmarkStart w:id="78" w:name="_Toc22221"/>
      <w:r>
        <w:rPr>
          <w:rStyle w:val="31"/>
          <w:rFonts w:hint="eastAsia" w:ascii="黑体" w:hAnsi="黑体" w:eastAsia="黑体"/>
          <w:b w:val="0"/>
          <w:color w:val="auto"/>
          <w:highlight w:val="none"/>
        </w:rPr>
        <w:t>其他重要事项的情况说明</w:t>
      </w:r>
      <w:bookmarkEnd w:id="76"/>
      <w:bookmarkEnd w:id="77"/>
      <w:bookmarkEnd w:id="78"/>
    </w:p>
    <w:p>
      <w:pPr>
        <w:spacing w:line="600" w:lineRule="exact"/>
        <w:ind w:firstLine="643" w:firstLineChars="200"/>
        <w:outlineLvl w:val="2"/>
        <w:rPr>
          <w:rFonts w:ascii="仿宋" w:hAnsi="仿宋" w:eastAsia="仿宋"/>
          <w:color w:val="auto"/>
          <w:sz w:val="32"/>
          <w:szCs w:val="32"/>
          <w:highlight w:val="none"/>
        </w:rPr>
      </w:pPr>
      <w:bookmarkStart w:id="79" w:name="_Toc15377222"/>
      <w:bookmarkStart w:id="80" w:name="_Toc14376"/>
      <w:r>
        <w:rPr>
          <w:rFonts w:hint="eastAsia" w:ascii="仿宋" w:hAnsi="仿宋" w:eastAsia="仿宋"/>
          <w:b/>
          <w:color w:val="auto"/>
          <w:sz w:val="32"/>
          <w:szCs w:val="32"/>
          <w:highlight w:val="none"/>
        </w:rPr>
        <w:t>（一）机关运行经费支出情况</w:t>
      </w:r>
      <w:bookmarkEnd w:id="79"/>
      <w:bookmarkEnd w:id="8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广元市朝天区残疾人联合会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16.52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1.53</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机关运行成本增加。</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1" w:name="_Toc15377223"/>
      <w:bookmarkStart w:id="82" w:name="_Toc19518"/>
      <w:r>
        <w:rPr>
          <w:rFonts w:hint="eastAsia" w:ascii="仿宋" w:hAnsi="仿宋" w:eastAsia="仿宋"/>
          <w:b/>
          <w:color w:val="auto"/>
          <w:sz w:val="32"/>
          <w:szCs w:val="32"/>
          <w:highlight w:val="none"/>
        </w:rPr>
        <w:t>（二）政府采购支出情况</w:t>
      </w:r>
      <w:bookmarkEnd w:id="81"/>
      <w:bookmarkEnd w:id="8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广元市朝天区残疾人联合会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万元。主要用于</w:t>
      </w:r>
      <w:r>
        <w:rPr>
          <w:rFonts w:hint="eastAsia" w:ascii="仿宋_GB2312" w:eastAsia="仿宋_GB2312"/>
          <w:sz w:val="32"/>
          <w:szCs w:val="32"/>
          <w:lang w:eastAsia="zh-CN"/>
        </w:rPr>
        <w:t>为</w:t>
      </w:r>
      <w:r>
        <w:rPr>
          <w:rFonts w:hint="eastAsia" w:ascii="仿宋_GB2312" w:eastAsia="仿宋_GB2312"/>
          <w:sz w:val="32"/>
          <w:szCs w:val="32"/>
          <w:lang w:val="en-US" w:eastAsia="zh-CN"/>
        </w:rPr>
        <w:t>200名</w:t>
      </w:r>
      <w:r>
        <w:rPr>
          <w:rFonts w:hint="eastAsia" w:ascii="仿宋_GB2312" w:eastAsia="仿宋_GB2312"/>
          <w:sz w:val="32"/>
          <w:szCs w:val="32"/>
          <w:lang w:eastAsia="zh-CN"/>
        </w:rPr>
        <w:t>有就业创业愿望和培训需求的朝天区户籍的残疾人提供职业技能培训</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3" w:name="_Toc15377224"/>
      <w:bookmarkStart w:id="84" w:name="_Toc9270"/>
      <w:r>
        <w:rPr>
          <w:rFonts w:hint="eastAsia" w:ascii="仿宋" w:hAnsi="仿宋" w:eastAsia="仿宋"/>
          <w:b/>
          <w:color w:val="auto"/>
          <w:sz w:val="32"/>
          <w:szCs w:val="32"/>
          <w:highlight w:val="none"/>
        </w:rPr>
        <w:t>（三）国有资产占有使用情况</w:t>
      </w:r>
      <w:bookmarkEnd w:id="83"/>
      <w:bookmarkEnd w:id="8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广元市朝天区残疾人联合会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5" w:name="_Toc27025"/>
      <w:r>
        <w:rPr>
          <w:rFonts w:hint="eastAsia" w:ascii="仿宋" w:hAnsi="仿宋" w:eastAsia="仿宋"/>
          <w:b/>
          <w:color w:val="auto"/>
          <w:sz w:val="32"/>
          <w:szCs w:val="32"/>
          <w:highlight w:val="none"/>
        </w:rPr>
        <w:t>（四）预算绩效管理情况</w:t>
      </w:r>
      <w:bookmarkEnd w:id="85"/>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残疾人事业发展</w:t>
      </w:r>
      <w:r>
        <w:rPr>
          <w:rFonts w:hint="eastAsia" w:ascii="仿宋_GB2312" w:hAnsi="仿宋_GB2312" w:eastAsia="仿宋_GB2312" w:cs="仿宋_GB2312"/>
          <w:color w:val="auto"/>
          <w:sz w:val="32"/>
          <w:szCs w:val="32"/>
          <w:highlight w:val="none"/>
        </w:rPr>
        <w:t>项目（项目名称）等</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w:t>
      </w:r>
    </w:p>
    <w:p>
      <w:pPr>
        <w:autoSpaceDE w:val="0"/>
        <w:spacing w:line="560" w:lineRule="exact"/>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w:t>
      </w:r>
      <w:r>
        <w:rPr>
          <w:rFonts w:hint="eastAsia" w:ascii="仿宋_GB2312" w:hAnsi="仿宋_GB2312" w:eastAsia="仿宋_GB2312" w:cs="仿宋_GB2312"/>
          <w:color w:val="auto"/>
          <w:sz w:val="32"/>
          <w:szCs w:val="32"/>
          <w:highlight w:val="none"/>
          <w:lang w:eastAsia="zh-CN"/>
        </w:rPr>
        <w:t>全面开展绩效自评，形成广元市朝天区残疾人联合会部门整体（含部门预算项目）绩效自评报告“智慧量服”手持终端服务项目等专项预算项目绩效自评报告，其中，朝天区残联部门整体支出绩效评价报告</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宋体" w:eastAsia="仿宋_GB2312" w:cs="Times New Roman"/>
          <w:w w:val="99"/>
          <w:sz w:val="32"/>
          <w:szCs w:val="32"/>
        </w:rPr>
        <w:t>2022年部门支出较规范、合理，符合财政预算资金的相关制度和办法。部门制度建立健全且执行情况良好，较好的履行了部门基本职能，完成了年度重点任务工作。自评报告详见附件。</w:t>
      </w:r>
      <w:r>
        <w:rPr>
          <w:rFonts w:ascii="仿宋_GB2312" w:eastAsia="仿宋_GB2312"/>
          <w:b/>
          <w:color w:val="auto"/>
          <w:sz w:val="32"/>
          <w:szCs w:val="32"/>
          <w:highlight w:val="none"/>
        </w:rPr>
        <w:br w:type="page"/>
      </w:r>
    </w:p>
    <w:p>
      <w:pPr>
        <w:numPr>
          <w:ilvl w:val="0"/>
          <w:numId w:val="5"/>
        </w:numPr>
        <w:spacing w:line="600" w:lineRule="exact"/>
        <w:ind w:left="2490" w:leftChars="0" w:firstLine="660" w:firstLineChars="0"/>
        <w:jc w:val="center"/>
        <w:outlineLvl w:val="0"/>
        <w:rPr>
          <w:rStyle w:val="30"/>
          <w:rFonts w:ascii="黑体" w:hAnsi="黑体" w:eastAsia="黑体"/>
          <w:b w:val="0"/>
          <w:color w:val="auto"/>
          <w:highlight w:val="none"/>
        </w:rPr>
      </w:pPr>
      <w:bookmarkStart w:id="86" w:name="_Toc15396613"/>
      <w:bookmarkStart w:id="87" w:name="_Toc15377225"/>
      <w:bookmarkStart w:id="88" w:name="_Toc21480"/>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86"/>
      <w:bookmarkEnd w:id="87"/>
      <w:bookmarkEnd w:id="88"/>
    </w:p>
    <w:p>
      <w:pPr>
        <w:spacing w:line="600" w:lineRule="exact"/>
        <w:jc w:val="left"/>
        <w:rPr>
          <w:rFonts w:ascii="宋体"/>
          <w:b/>
          <w:color w:val="auto"/>
          <w:sz w:val="44"/>
          <w:szCs w:val="44"/>
          <w:highlight w:val="none"/>
        </w:rPr>
      </w:pP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行政事业单位基本养老保险缴费支出05</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反映机关事业单位实施</w:t>
      </w:r>
      <w:r>
        <w:rPr>
          <w:rFonts w:hint="eastAsia" w:ascii="仿宋_GB2312" w:eastAsia="仿宋_GB2312"/>
          <w:color w:val="auto"/>
          <w:sz w:val="32"/>
          <w:szCs w:val="32"/>
          <w:highlight w:val="none"/>
        </w:rPr>
        <w:t>养老保险制度由单位缴纳的养老保险费的支出。</w:t>
      </w:r>
    </w:p>
    <w:p>
      <w:pPr>
        <w:pStyle w:val="15"/>
        <w:ind w:left="0" w:leftChars="0"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行政事业单位职业年金缴费支出06</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反映机关事业单位</w:t>
      </w:r>
      <w:r>
        <w:rPr>
          <w:rFonts w:hint="eastAsia" w:ascii="仿宋_GB2312" w:hAnsi="Times New Roman" w:eastAsia="仿宋_GB2312" w:cs="Times New Roman"/>
          <w:color w:val="auto"/>
          <w:kern w:val="2"/>
          <w:sz w:val="32"/>
          <w:szCs w:val="32"/>
          <w:highlight w:val="none"/>
          <w:lang w:val="en-US" w:eastAsia="zh-CN" w:bidi="ar-SA"/>
        </w:rPr>
        <w:t>实施职业年金制度由</w:t>
      </w:r>
      <w:r>
        <w:rPr>
          <w:rFonts w:hint="eastAsia" w:ascii="仿宋_GB2312" w:eastAsia="仿宋_GB2312" w:cs="Times New Roman"/>
          <w:color w:val="auto"/>
          <w:kern w:val="2"/>
          <w:sz w:val="32"/>
          <w:szCs w:val="32"/>
          <w:highlight w:val="none"/>
          <w:lang w:val="en-US" w:eastAsia="zh-CN" w:bidi="ar-SA"/>
        </w:rPr>
        <w:t>单位实际</w:t>
      </w:r>
      <w:r>
        <w:rPr>
          <w:rFonts w:hint="eastAsia" w:ascii="仿宋_GB2312" w:hAnsi="Times New Roman" w:eastAsia="仿宋_GB2312" w:cs="Times New Roman"/>
          <w:color w:val="auto"/>
          <w:kern w:val="2"/>
          <w:sz w:val="32"/>
          <w:szCs w:val="32"/>
          <w:highlight w:val="none"/>
          <w:lang w:val="en-US" w:eastAsia="zh-CN" w:bidi="ar-SA"/>
        </w:rPr>
        <w:t>缴纳的职业年金的支出。</w:t>
      </w:r>
    </w:p>
    <w:p>
      <w:pPr>
        <w:ind w:firstLine="640" w:firstLineChars="200"/>
        <w:rPr>
          <w:rFonts w:hint="eastAsia" w:ascii="仿宋_GB2312" w:eastAsia="仿宋_GB2312"/>
          <w:color w:val="auto"/>
          <w:sz w:val="32"/>
          <w:szCs w:val="32"/>
          <w:highlight w:val="yellow"/>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行政运行01</w:t>
      </w:r>
      <w:r>
        <w:rPr>
          <w:rFonts w:hint="eastAsia" w:ascii="仿宋_GB2312" w:eastAsia="仿宋_GB2312"/>
          <w:color w:val="auto"/>
          <w:sz w:val="32"/>
          <w:szCs w:val="32"/>
          <w:highlight w:val="none"/>
        </w:rPr>
        <w:t>（项）：</w:t>
      </w:r>
      <w:r>
        <w:rPr>
          <w:rFonts w:hint="eastAsia" w:ascii="仿宋_GB2312" w:hAnsi="Times New Roman" w:eastAsia="仿宋_GB2312" w:cs="Times New Roman"/>
          <w:color w:val="auto"/>
          <w:sz w:val="32"/>
          <w:szCs w:val="32"/>
          <w:highlight w:val="none"/>
          <w:lang w:val="en-US" w:eastAsia="zh-CN"/>
        </w:rPr>
        <w:t>指反映行</w:t>
      </w:r>
      <w:r>
        <w:rPr>
          <w:rFonts w:hint="eastAsia" w:ascii="仿宋_GB2312" w:eastAsia="仿宋_GB2312"/>
          <w:color w:val="auto"/>
          <w:sz w:val="32"/>
          <w:szCs w:val="32"/>
          <w:highlight w:val="none"/>
          <w:lang w:val="en-US" w:eastAsia="zh-CN"/>
        </w:rPr>
        <w:t>政单位（包括实行公务员管理事业单位）的基本支出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yellow"/>
          <w:lang w:val="en-US" w:eastAsia="zh-CN"/>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机关服务03</w:t>
      </w:r>
      <w:r>
        <w:rPr>
          <w:rFonts w:hint="eastAsia" w:ascii="仿宋_GB2312" w:eastAsia="仿宋_GB2312"/>
          <w:color w:val="auto"/>
          <w:sz w:val="32"/>
          <w:szCs w:val="32"/>
          <w:highlight w:val="none"/>
        </w:rPr>
        <w:t>（项）：</w:t>
      </w:r>
      <w:r>
        <w:rPr>
          <w:rFonts w:hint="eastAsia" w:ascii="仿宋_GB2312" w:hAnsi="Times New Roman" w:eastAsia="仿宋_GB2312" w:cs="Times New Roman"/>
          <w:color w:val="auto"/>
          <w:sz w:val="32"/>
          <w:szCs w:val="32"/>
          <w:highlight w:val="none"/>
          <w:lang w:val="en-US" w:eastAsia="zh-CN"/>
        </w:rPr>
        <w:t>指反映行</w:t>
      </w:r>
      <w:r>
        <w:rPr>
          <w:rFonts w:hint="eastAsia" w:ascii="仿宋_GB2312" w:eastAsia="仿宋_GB2312"/>
          <w:color w:val="auto"/>
          <w:sz w:val="32"/>
          <w:szCs w:val="32"/>
          <w:highlight w:val="none"/>
          <w:lang w:val="en-US" w:eastAsia="zh-CN"/>
        </w:rPr>
        <w:t>政单位（包括实行公务员管理事业单位）提供后勤服务的各类后勤了服务中心、医务室等附属事业单位的支出。</w:t>
      </w: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残疾人康复04</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反映</w:t>
      </w:r>
      <w:r>
        <w:rPr>
          <w:rFonts w:hint="eastAsia" w:ascii="仿宋_GB2312" w:eastAsia="仿宋_GB2312"/>
          <w:color w:val="auto"/>
          <w:sz w:val="32"/>
          <w:szCs w:val="32"/>
          <w:highlight w:val="none"/>
          <w:lang w:val="en-US" w:eastAsia="zh-CN"/>
        </w:rPr>
        <w:t xml:space="preserve">残疾人联合会用于康复方面的支出。 </w:t>
      </w:r>
    </w:p>
    <w:p>
      <w:pPr>
        <w:ind w:firstLine="640" w:firstLineChars="200"/>
        <w:rPr>
          <w:rFonts w:hint="eastAsia"/>
          <w:highlight w:val="none"/>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残疾人就业06</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残疾人就业方面支出</w:t>
      </w:r>
      <w:r>
        <w:rPr>
          <w:rFonts w:hint="eastAsia" w:ascii="仿宋_GB2312" w:eastAsia="仿宋_GB2312"/>
          <w:color w:val="auto"/>
          <w:sz w:val="32"/>
          <w:szCs w:val="32"/>
          <w:highlight w:val="none"/>
        </w:rPr>
        <w:t>。</w:t>
      </w:r>
    </w:p>
    <w:p>
      <w:pPr>
        <w:numPr>
          <w:ilvl w:val="0"/>
          <w:numId w:val="0"/>
        </w:numPr>
        <w:ind w:firstLine="640" w:firstLineChars="200"/>
        <w:rPr>
          <w:rFonts w:hint="eastAsia" w:ascii="仿宋_GB2312" w:eastAsia="仿宋_GB2312"/>
          <w:color w:val="auto"/>
          <w:sz w:val="32"/>
          <w:szCs w:val="32"/>
          <w:highlight w:val="yellow"/>
          <w:shd w:val="clear"/>
          <w:lang w:val="en-US" w:eastAsia="zh-CN"/>
        </w:rPr>
      </w:pPr>
      <w:r>
        <w:rPr>
          <w:rFonts w:hint="eastAsia" w:ascii="仿宋_GB2312" w:eastAsia="仿宋_GB2312"/>
          <w:color w:val="auto"/>
          <w:sz w:val="32"/>
          <w:szCs w:val="32"/>
          <w:highlight w:val="none"/>
          <w:lang w:val="en-US" w:eastAsia="zh-CN"/>
        </w:rPr>
        <w:t>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残疾人事业11（款）99（项）：</w:t>
      </w:r>
      <w:r>
        <w:rPr>
          <w:rFonts w:hint="eastAsia" w:ascii="仿宋_GB2312" w:eastAsia="仿宋_GB2312"/>
          <w:color w:val="auto"/>
          <w:sz w:val="32"/>
          <w:szCs w:val="32"/>
          <w:highlight w:val="none"/>
          <w:shd w:val="clear"/>
          <w:lang w:val="en-US" w:eastAsia="zh-CN"/>
        </w:rPr>
        <w:t>反映除残疾人康复、残疾人体育、残疾人体育、残疾人生活和护理补贴以外其他用于残疾人事业方面的支出。</w:t>
      </w:r>
    </w:p>
    <w:p>
      <w:pPr>
        <w:pStyle w:val="15"/>
        <w:numPr>
          <w:ilvl w:val="0"/>
          <w:numId w:val="0"/>
        </w:numPr>
        <w:ind w:firstLine="640" w:firstLineChars="200"/>
        <w:rPr>
          <w:rFonts w:hint="eastAsia"/>
          <w:highlight w:val="cyan"/>
          <w:lang w:val="en-US" w:eastAsia="zh-CN"/>
        </w:rPr>
      </w:pPr>
      <w:r>
        <w:rPr>
          <w:rFonts w:hint="eastAsia" w:ascii="仿宋_GB2312" w:eastAsia="仿宋_GB2312"/>
          <w:color w:val="auto"/>
          <w:sz w:val="32"/>
          <w:szCs w:val="32"/>
          <w:highlight w:val="none"/>
          <w:lang w:val="en-US" w:eastAsia="zh-CN"/>
        </w:rPr>
        <w:t>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残疾人事业99（款）其他社会保障和就业99（项）：指反映其他用于社会保障和就业方面支出。</w:t>
      </w: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ascii="仿宋_GB2312" w:eastAsia="仿宋_GB2312"/>
          <w:color w:val="auto"/>
          <w:sz w:val="32"/>
          <w:szCs w:val="32"/>
          <w:highlight w:val="none"/>
        </w:rPr>
        <w:t>10.</w:t>
      </w:r>
      <w:r>
        <w:rPr>
          <w:rFonts w:hint="eastAsia" w:ascii="仿宋_GB2312" w:hAnsi="Times New Roman" w:eastAsia="仿宋_GB2312" w:cs="Times New Roman"/>
          <w:color w:val="auto"/>
          <w:kern w:val="2"/>
          <w:sz w:val="32"/>
          <w:szCs w:val="32"/>
          <w:highlight w:val="none"/>
          <w:lang w:val="en-US" w:eastAsia="zh-CN" w:bidi="ar-SA"/>
        </w:rPr>
        <w:t>卫生健康210（类）行政事业单位医疗11（款）行政单位医疗01</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项</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：指</w:t>
      </w:r>
      <w:r>
        <w:rPr>
          <w:rFonts w:hint="eastAsia" w:ascii="仿宋_GB2312" w:eastAsia="仿宋_GB2312" w:cs="Times New Roman"/>
          <w:color w:val="auto"/>
          <w:kern w:val="2"/>
          <w:sz w:val="32"/>
          <w:szCs w:val="32"/>
          <w:highlight w:val="none"/>
          <w:lang w:val="en-US" w:eastAsia="zh-CN" w:bidi="ar-SA"/>
        </w:rPr>
        <w:t>反映</w:t>
      </w:r>
      <w:r>
        <w:rPr>
          <w:rFonts w:hint="eastAsia" w:ascii="仿宋_GB2312" w:hAnsi="Times New Roman" w:eastAsia="仿宋_GB2312" w:cs="Times New Roman"/>
          <w:color w:val="auto"/>
          <w:kern w:val="2"/>
          <w:sz w:val="32"/>
          <w:szCs w:val="32"/>
          <w:highlight w:val="none"/>
          <w:lang w:val="en-US" w:eastAsia="zh-CN" w:bidi="ar-SA"/>
        </w:rPr>
        <w:t>广元市朝天区残疾人联合会用于缴纳单位</w:t>
      </w:r>
      <w:r>
        <w:rPr>
          <w:rFonts w:hint="eastAsia" w:ascii="仿宋_GB2312" w:eastAsia="仿宋_GB2312" w:cs="Times New Roman"/>
          <w:color w:val="auto"/>
          <w:kern w:val="2"/>
          <w:sz w:val="32"/>
          <w:szCs w:val="32"/>
          <w:highlight w:val="none"/>
          <w:lang w:val="en-US" w:eastAsia="zh-CN" w:bidi="ar-SA"/>
        </w:rPr>
        <w:t>行政人员</w:t>
      </w:r>
      <w:r>
        <w:rPr>
          <w:rFonts w:hint="eastAsia" w:ascii="仿宋_GB2312" w:hAnsi="Times New Roman" w:eastAsia="仿宋_GB2312" w:cs="Times New Roman"/>
          <w:color w:val="auto"/>
          <w:kern w:val="2"/>
          <w:sz w:val="32"/>
          <w:szCs w:val="32"/>
          <w:highlight w:val="none"/>
          <w:lang w:val="en-US" w:eastAsia="zh-CN" w:bidi="ar-SA"/>
        </w:rPr>
        <w:t>基本医疗保险支出。</w:t>
      </w:r>
    </w:p>
    <w:p>
      <w:pPr>
        <w:ind w:firstLine="640" w:firstLineChars="200"/>
        <w:rPr>
          <w:rFonts w:ascii="仿宋_GB2312" w:eastAsia="仿宋_GB2312"/>
          <w:color w:val="auto"/>
          <w:sz w:val="32"/>
          <w:szCs w:val="32"/>
          <w:highlight w:val="none"/>
        </w:rPr>
      </w:pPr>
      <w:r>
        <w:rPr>
          <w:rFonts w:hint="eastAsia" w:ascii="仿宋_GB2312" w:hAnsi="Times New Roman" w:eastAsia="仿宋_GB2312" w:cs="Times New Roman"/>
          <w:color w:val="auto"/>
          <w:kern w:val="2"/>
          <w:sz w:val="32"/>
          <w:szCs w:val="32"/>
          <w:highlight w:val="none"/>
          <w:lang w:val="en-US" w:eastAsia="zh-CN" w:bidi="ar-SA"/>
        </w:rPr>
        <w:t>卫生健康210（类）行政事业单位医疗11（款）事业单位医疗0</w:t>
      </w:r>
      <w:r>
        <w:rPr>
          <w:rFonts w:hint="eastAsia" w:ascii="仿宋_GB2312" w:eastAsia="仿宋_GB2312" w:cs="Times New Roman"/>
          <w:color w:val="auto"/>
          <w:kern w:val="2"/>
          <w:sz w:val="32"/>
          <w:szCs w:val="32"/>
          <w:highlight w:val="none"/>
          <w:lang w:val="en-US" w:eastAsia="zh-CN" w:bidi="ar-SA"/>
        </w:rPr>
        <w:t>2（</w:t>
      </w:r>
      <w:r>
        <w:rPr>
          <w:rFonts w:hint="eastAsia" w:ascii="仿宋_GB2312" w:hAnsi="Times New Roman" w:eastAsia="仿宋_GB2312" w:cs="Times New Roman"/>
          <w:color w:val="auto"/>
          <w:kern w:val="2"/>
          <w:sz w:val="32"/>
          <w:szCs w:val="32"/>
          <w:highlight w:val="none"/>
          <w:lang w:val="en-US" w:eastAsia="zh-CN" w:bidi="ar-SA"/>
        </w:rPr>
        <w:t>项</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：指</w:t>
      </w:r>
      <w:r>
        <w:rPr>
          <w:rFonts w:hint="eastAsia" w:ascii="仿宋_GB2312" w:eastAsia="仿宋_GB2312" w:cs="Times New Roman"/>
          <w:color w:val="auto"/>
          <w:kern w:val="2"/>
          <w:sz w:val="32"/>
          <w:szCs w:val="32"/>
          <w:highlight w:val="none"/>
          <w:lang w:val="en-US" w:eastAsia="zh-CN" w:bidi="ar-SA"/>
        </w:rPr>
        <w:t>反映</w:t>
      </w:r>
      <w:r>
        <w:rPr>
          <w:rFonts w:hint="eastAsia" w:ascii="仿宋_GB2312" w:hAnsi="Times New Roman" w:eastAsia="仿宋_GB2312" w:cs="Times New Roman"/>
          <w:color w:val="auto"/>
          <w:kern w:val="2"/>
          <w:sz w:val="32"/>
          <w:szCs w:val="32"/>
          <w:highlight w:val="none"/>
          <w:lang w:val="en-US" w:eastAsia="zh-CN" w:bidi="ar-SA"/>
        </w:rPr>
        <w:t>广元市朝天区残疾人联合会用于缴纳单位</w:t>
      </w:r>
      <w:r>
        <w:rPr>
          <w:rFonts w:hint="eastAsia" w:ascii="仿宋_GB2312" w:eastAsia="仿宋_GB2312" w:cs="Times New Roman"/>
          <w:color w:val="auto"/>
          <w:kern w:val="2"/>
          <w:sz w:val="32"/>
          <w:szCs w:val="32"/>
          <w:highlight w:val="none"/>
          <w:lang w:val="en-US" w:eastAsia="zh-CN" w:bidi="ar-SA"/>
        </w:rPr>
        <w:t>事业人员</w:t>
      </w:r>
      <w:r>
        <w:rPr>
          <w:rFonts w:hint="eastAsia" w:ascii="仿宋_GB2312" w:hAnsi="Times New Roman" w:eastAsia="仿宋_GB2312" w:cs="Times New Roman"/>
          <w:color w:val="auto"/>
          <w:kern w:val="2"/>
          <w:sz w:val="32"/>
          <w:szCs w:val="32"/>
          <w:highlight w:val="none"/>
          <w:lang w:val="en-US" w:eastAsia="zh-CN" w:bidi="ar-SA"/>
        </w:rPr>
        <w:t>基本医疗保险支出。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hAnsi="Times New Roman" w:eastAsia="仿宋_GB2312" w:cs="Times New Roman"/>
          <w:color w:val="auto"/>
          <w:kern w:val="2"/>
          <w:sz w:val="32"/>
          <w:szCs w:val="32"/>
          <w:highlight w:val="none"/>
          <w:lang w:val="en-US" w:eastAsia="zh-CN" w:bidi="ar-SA"/>
        </w:rPr>
        <w:t>农林水213（类）</w:t>
      </w:r>
      <w:r>
        <w:rPr>
          <w:rFonts w:hint="eastAsia" w:ascii="仿宋_GB2312" w:eastAsia="仿宋_GB2312" w:cs="Times New Roman"/>
          <w:color w:val="auto"/>
          <w:kern w:val="2"/>
          <w:sz w:val="32"/>
          <w:szCs w:val="32"/>
          <w:highlight w:val="none"/>
          <w:lang w:val="en-US" w:eastAsia="zh-CN" w:bidi="ar-SA"/>
        </w:rPr>
        <w:t>巩固脱贫衔接乡村振兴</w:t>
      </w:r>
      <w:r>
        <w:rPr>
          <w:rFonts w:hint="eastAsia" w:ascii="仿宋_GB2312" w:hAnsi="Times New Roman" w:eastAsia="仿宋_GB2312" w:cs="Times New Roman"/>
          <w:color w:val="auto"/>
          <w:kern w:val="2"/>
          <w:sz w:val="32"/>
          <w:szCs w:val="32"/>
          <w:highlight w:val="none"/>
          <w:lang w:val="en-US" w:eastAsia="zh-CN" w:bidi="ar-SA"/>
        </w:rPr>
        <w:t>05（款）</w:t>
      </w:r>
      <w:r>
        <w:rPr>
          <w:rFonts w:hint="eastAsia" w:ascii="仿宋_GB2312" w:eastAsia="仿宋_GB2312" w:cs="Times New Roman"/>
          <w:color w:val="auto"/>
          <w:kern w:val="2"/>
          <w:sz w:val="32"/>
          <w:szCs w:val="32"/>
          <w:highlight w:val="none"/>
          <w:lang w:val="en-US" w:eastAsia="zh-CN" w:bidi="ar-SA"/>
        </w:rPr>
        <w:t>社会发展</w:t>
      </w:r>
      <w:r>
        <w:rPr>
          <w:rFonts w:hint="eastAsia" w:ascii="仿宋_GB2312" w:hAnsi="Times New Roman" w:eastAsia="仿宋_GB2312" w:cs="Times New Roman"/>
          <w:color w:val="auto"/>
          <w:kern w:val="2"/>
          <w:sz w:val="32"/>
          <w:szCs w:val="32"/>
          <w:highlight w:val="none"/>
          <w:lang w:val="en-US" w:eastAsia="zh-CN" w:bidi="ar-SA"/>
        </w:rPr>
        <w:t>06（项）：指</w:t>
      </w:r>
      <w:r>
        <w:rPr>
          <w:rFonts w:hint="eastAsia" w:ascii="仿宋_GB2312" w:eastAsia="仿宋_GB2312" w:cs="Times New Roman"/>
          <w:color w:val="auto"/>
          <w:kern w:val="2"/>
          <w:sz w:val="32"/>
          <w:szCs w:val="32"/>
          <w:highlight w:val="none"/>
          <w:lang w:val="en-US" w:eastAsia="zh-CN" w:bidi="ar-SA"/>
        </w:rPr>
        <w:t>反映用于农村欠发达地区中小学教育、文化、广播、电视、卫生健康等方面的项目支出</w:t>
      </w:r>
      <w:r>
        <w:rPr>
          <w:rFonts w:hint="eastAsia" w:ascii="仿宋_GB2312" w:hAnsi="Times New Roman" w:eastAsia="仿宋_GB2312" w:cs="Times New Roman"/>
          <w:color w:val="auto"/>
          <w:kern w:val="2"/>
          <w:sz w:val="32"/>
          <w:szCs w:val="32"/>
          <w:highlight w:val="none"/>
          <w:lang w:val="en-US" w:eastAsia="zh-CN" w:bidi="ar-SA"/>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hAnsi="Times New Roman" w:eastAsia="仿宋_GB2312" w:cs="Times New Roman"/>
          <w:color w:val="auto"/>
          <w:kern w:val="2"/>
          <w:sz w:val="32"/>
          <w:szCs w:val="32"/>
          <w:highlight w:val="none"/>
          <w:lang w:val="en-US" w:eastAsia="zh-CN" w:bidi="ar-SA"/>
        </w:rPr>
        <w:t>住房保障221（类）住房改革支出02（款）住房公积金01（项）：指按照《住房公积金管理条例》的规定，由单位及其在职职工缴存的长期住房储金。</w:t>
      </w:r>
    </w:p>
    <w:p>
      <w:pPr>
        <w:ind w:firstLine="640" w:firstLineChars="200"/>
        <w:rPr>
          <w:rFonts w:hint="eastAsia" w:ascii="仿宋_GB2312" w:eastAsia="仿宋_GB2312" w:cs="Times New Roman"/>
          <w:color w:val="auto"/>
          <w:kern w:val="2"/>
          <w:sz w:val="32"/>
          <w:szCs w:val="32"/>
          <w:highlight w:val="none"/>
          <w:lang w:val="en-US" w:eastAsia="zh-CN" w:bidi="ar-SA"/>
        </w:rPr>
      </w:pPr>
      <w:r>
        <w:rPr>
          <w:rFonts w:ascii="仿宋_GB2312" w:eastAsia="仿宋_GB2312"/>
          <w:color w:val="auto"/>
          <w:sz w:val="32"/>
          <w:szCs w:val="32"/>
          <w:highlight w:val="none"/>
        </w:rPr>
        <w:t>13.</w:t>
      </w:r>
      <w:r>
        <w:rPr>
          <w:rFonts w:hint="eastAsia" w:ascii="仿宋_GB2312" w:eastAsia="仿宋_GB2312" w:cs="Times New Roman"/>
          <w:color w:val="auto"/>
          <w:kern w:val="2"/>
          <w:sz w:val="32"/>
          <w:szCs w:val="32"/>
          <w:highlight w:val="none"/>
          <w:lang w:val="en-US" w:eastAsia="zh-CN" w:bidi="ar-SA"/>
        </w:rPr>
        <w:t>其他支出229（类）</w:t>
      </w:r>
    </w:p>
    <w:p>
      <w:pPr>
        <w:ind w:firstLine="640" w:firstLineChars="200"/>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其他支出229（类）彩票公益金安排支出60（款）用于社会福利彩票公益金支出02（项）：指反映用于社会福利和社会救助的彩票公益金支出。</w:t>
      </w:r>
    </w:p>
    <w:p>
      <w:pPr>
        <w:ind w:firstLine="640" w:firstLineChars="200"/>
        <w:rPr>
          <w:rFonts w:hint="default"/>
          <w:highlight w:val="none"/>
          <w:lang w:val="en-US" w:eastAsia="zh-CN"/>
        </w:rPr>
      </w:pPr>
      <w:r>
        <w:rPr>
          <w:rFonts w:hint="eastAsia" w:ascii="仿宋_GB2312" w:eastAsia="仿宋_GB2312" w:cs="Times New Roman"/>
          <w:color w:val="auto"/>
          <w:kern w:val="2"/>
          <w:sz w:val="32"/>
          <w:szCs w:val="32"/>
          <w:highlight w:val="none"/>
          <w:lang w:val="en-US" w:eastAsia="zh-CN" w:bidi="ar-SA"/>
        </w:rPr>
        <w:t>其他支出229（类）彩票公益金安排支出60（款）用于社会福利彩票公益金支出06（项）：指反映用于残疾人事业的彩票公益金支出。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30"/>
          <w:rFonts w:hint="eastAsia" w:ascii="黑体" w:hAnsi="黑体" w:eastAsia="黑体"/>
          <w:b w:val="0"/>
          <w:color w:val="auto"/>
          <w:highlight w:val="none"/>
          <w:lang w:eastAsia="zh-CN"/>
        </w:rPr>
      </w:pPr>
      <w:bookmarkStart w:id="89" w:name="_Toc15377226"/>
      <w:r>
        <w:rPr>
          <w:rFonts w:ascii="宋体"/>
          <w:b/>
          <w:color w:val="auto"/>
          <w:sz w:val="44"/>
          <w:szCs w:val="44"/>
          <w:highlight w:val="none"/>
        </w:rPr>
        <w:br w:type="page"/>
      </w:r>
      <w:bookmarkStart w:id="90" w:name="_Toc15396614"/>
      <w:bookmarkStart w:id="91" w:name="_Toc16156"/>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90"/>
      <w:bookmarkEnd w:id="91"/>
    </w:p>
    <w:p>
      <w:pPr>
        <w:keepNext w:val="0"/>
        <w:keepLines w:val="0"/>
        <w:pageBreakBefore w:val="0"/>
        <w:kinsoku/>
        <w:wordWrap/>
        <w:overflowPunct/>
        <w:topLinePunct w:val="0"/>
        <w:autoSpaceDE/>
        <w:autoSpaceDN/>
        <w:bidi w:val="0"/>
        <w:spacing w:line="572" w:lineRule="exact"/>
        <w:jc w:val="left"/>
        <w:textAlignment w:val="auto"/>
        <w:outlineLvl w:val="0"/>
        <w:rPr>
          <w:rFonts w:ascii="黑体" w:hAnsi="黑体" w:eastAsia="黑体" w:cs="黑体"/>
          <w:b/>
          <w:sz w:val="28"/>
          <w:szCs w:val="28"/>
          <w:shd w:val="clear" w:color="auto" w:fill="FFFFFF"/>
        </w:rPr>
      </w:pPr>
      <w:bookmarkStart w:id="92" w:name="_Toc12932"/>
      <w:r>
        <w:rPr>
          <w:rFonts w:hint="eastAsia" w:ascii="黑体" w:hAnsi="黑体" w:eastAsia="黑体" w:cs="黑体"/>
          <w:sz w:val="28"/>
          <w:szCs w:val="28"/>
        </w:rPr>
        <w:t>附件1</w:t>
      </w:r>
      <w:bookmarkEnd w:id="92"/>
    </w:p>
    <w:p>
      <w:pPr>
        <w:widowControl/>
        <w:spacing w:line="580" w:lineRule="exact"/>
        <w:contextualSpacing/>
        <w:jc w:val="center"/>
        <w:rPr>
          <w:rFonts w:ascii="仿宋_GB2312" w:hAnsi="Times New Roman" w:eastAsia="仿宋_GB2312" w:cs="Times New Roman"/>
          <w:sz w:val="32"/>
          <w:szCs w:val="32"/>
          <w:shd w:val="clear" w:color="auto" w:fill="FFFFFF"/>
        </w:rPr>
      </w:pPr>
      <w:r>
        <w:rPr>
          <w:rFonts w:hint="eastAsia" w:ascii="宋体" w:hAnsi="宋体" w:eastAsia="宋体" w:cs="Times New Roman"/>
          <w:b/>
          <w:sz w:val="44"/>
          <w:szCs w:val="44"/>
          <w:shd w:val="clear" w:color="auto" w:fill="FFFFFF"/>
        </w:rPr>
        <w:t>朝天区残联部门整体支出绩效评价报告</w:t>
      </w:r>
    </w:p>
    <w:p>
      <w:pPr>
        <w:widowControl/>
        <w:spacing w:line="500" w:lineRule="exact"/>
        <w:ind w:firstLine="608" w:firstLineChars="200"/>
        <w:contextualSpacing/>
        <w:jc w:val="left"/>
        <w:rPr>
          <w:rFonts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一、部门（单位）概况</w:t>
      </w:r>
    </w:p>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（一）机构组成。</w:t>
      </w:r>
    </w:p>
    <w:p>
      <w:pPr>
        <w:autoSpaceDE w:val="0"/>
        <w:adjustRightInd w:val="0"/>
        <w:snapToGrid w:val="0"/>
        <w:spacing w:line="560" w:lineRule="exact"/>
        <w:ind w:firstLine="720"/>
        <w:rPr>
          <w:rFonts w:ascii="仿宋_GB2312" w:hAnsi="宋体" w:eastAsia="仿宋_GB2312" w:cs="Times New Roman"/>
          <w:w w:val="99"/>
          <w:sz w:val="32"/>
          <w:szCs w:val="32"/>
          <w:lang w:val="zh-CN"/>
        </w:rPr>
      </w:pPr>
      <w:r>
        <w:rPr>
          <w:rFonts w:hint="eastAsia" w:ascii="仿宋_GB2312" w:hAnsi="宋体" w:eastAsia="仿宋_GB2312" w:cs="Times New Roman"/>
          <w:w w:val="99"/>
          <w:sz w:val="32"/>
          <w:szCs w:val="32"/>
        </w:rPr>
        <w:t>广元市朝天区残疾人联合会属财政一级预算单位</w:t>
      </w:r>
      <w:r>
        <w:rPr>
          <w:rFonts w:hint="eastAsia" w:ascii="仿宋_GB2312" w:hAnsi="宋体" w:eastAsia="仿宋_GB2312" w:cs="Times New Roman"/>
          <w:w w:val="99"/>
          <w:sz w:val="32"/>
          <w:szCs w:val="32"/>
          <w:lang w:val="zh-CN"/>
        </w:rPr>
        <w:t>。</w:t>
      </w:r>
    </w:p>
    <w:p>
      <w:pPr>
        <w:widowControl/>
        <w:numPr>
          <w:ilvl w:val="0"/>
          <w:numId w:val="6"/>
        </w:numPr>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机构职能。</w:t>
      </w:r>
    </w:p>
    <w:p>
      <w:pPr>
        <w:widowControl/>
        <w:autoSpaceDE w:val="0"/>
        <w:adjustRightInd w:val="0"/>
        <w:snapToGrid w:val="0"/>
        <w:spacing w:line="580" w:lineRule="exact"/>
        <w:ind w:firstLine="632" w:firstLineChars="200"/>
        <w:contextualSpacing/>
        <w:jc w:val="left"/>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1.听取残疾人意见,反映残疾人需求,维护残疾人权益</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为残疾人服务。</w:t>
      </w:r>
    </w:p>
    <w:p>
      <w:pPr>
        <w:widowControl/>
        <w:autoSpaceDE w:val="0"/>
        <w:adjustRightInd w:val="0"/>
        <w:snapToGrid w:val="0"/>
        <w:spacing w:line="580" w:lineRule="exact"/>
        <w:ind w:firstLine="632" w:firstLineChars="200"/>
        <w:contextualSpacing/>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 xml:space="preserve"> 2.团结、教育残疾人遵守法律,履行应尽的义务,发扬乐观进取精神,自尊、自信、自强、自立,为社会主义建设贡献力量。</w:t>
      </w:r>
    </w:p>
    <w:p>
      <w:pPr>
        <w:widowControl/>
        <w:autoSpaceDE w:val="0"/>
        <w:adjustRightInd w:val="0"/>
        <w:snapToGrid w:val="0"/>
        <w:spacing w:line="580" w:lineRule="exact"/>
        <w:ind w:firstLine="632" w:firstLineChars="200"/>
        <w:contextualSpacing/>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3.开展残疾人康复、教育、劳动就业、文化、体育、福利、社会服务和无障碍设施及残疾预防工作,创造良好的环境和条件,扶助残疾人平等参与社会生活。</w:t>
      </w:r>
    </w:p>
    <w:p>
      <w:pPr>
        <w:widowControl/>
        <w:autoSpaceDE w:val="0"/>
        <w:adjustRightInd w:val="0"/>
        <w:snapToGrid w:val="0"/>
        <w:spacing w:line="580" w:lineRule="exact"/>
        <w:ind w:firstLine="632" w:firstLineChars="200"/>
        <w:contextualSpacing/>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4.协助政府研究、制定和实施残疾人事业的政策、规划和计划,起草有关保障残疾人权益的规范性文件,调查掌握残疾人状况,向政府提出决策建议,对残疾人工作进行管理和指导。</w:t>
      </w:r>
    </w:p>
    <w:p>
      <w:pPr>
        <w:widowControl/>
        <w:autoSpaceDE w:val="0"/>
        <w:adjustRightInd w:val="0"/>
        <w:snapToGrid w:val="0"/>
        <w:spacing w:line="580" w:lineRule="exact"/>
        <w:ind w:firstLine="632" w:firstLineChars="200"/>
        <w:contextualSpacing/>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5.组织实施残疾人按比例就业工作,会同有关部门制定并监督实施残疾人社会福利生产和扶持保护政策。</w:t>
      </w:r>
    </w:p>
    <w:p>
      <w:pPr>
        <w:widowControl/>
        <w:autoSpaceDE w:val="0"/>
        <w:adjustRightInd w:val="0"/>
        <w:snapToGrid w:val="0"/>
        <w:spacing w:line="580" w:lineRule="exact"/>
        <w:ind w:firstLine="632" w:firstLineChars="200"/>
        <w:contextualSpacing/>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6.指导各类残疾人社团组织;统筹开展为残疾人事业募捐活动;开展残疾人事业的对外交流与合作。</w:t>
      </w:r>
    </w:p>
    <w:p>
      <w:pPr>
        <w:widowControl/>
        <w:autoSpaceDE w:val="0"/>
        <w:adjustRightInd w:val="0"/>
        <w:snapToGrid w:val="0"/>
        <w:spacing w:line="580" w:lineRule="exact"/>
        <w:ind w:firstLine="632" w:firstLineChars="200"/>
        <w:contextualSpacing/>
        <w:jc w:val="left"/>
        <w:rPr>
          <w:rFonts w:ascii="楷体_GB2312" w:hAnsi="Times New Roman" w:eastAsia="楷体_GB2312" w:cs="Times New Roman"/>
          <w:kern w:val="0"/>
          <w:sz w:val="32"/>
          <w:szCs w:val="32"/>
          <w:shd w:val="clear" w:color="auto" w:fill="FFFFFF"/>
        </w:rPr>
      </w:pPr>
      <w:r>
        <w:rPr>
          <w:rFonts w:hint="eastAsia" w:ascii="仿宋_GB2312" w:hAnsi="宋体" w:eastAsia="仿宋_GB2312" w:cs="Times New Roman"/>
          <w:w w:val="99"/>
          <w:sz w:val="32"/>
          <w:szCs w:val="32"/>
        </w:rPr>
        <w:t>7.承办区委、区政府交办的其他事项。</w:t>
      </w:r>
    </w:p>
    <w:p>
      <w:pPr>
        <w:widowControl/>
        <w:numPr>
          <w:ilvl w:val="0"/>
          <w:numId w:val="6"/>
        </w:numPr>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人员概况。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我单位总编制8名，其中行政编制5名，行政执法编制0名，事业编制2名，工勤编制1人，自收自支编制0名。在职人员总数12人，其中行政人员5人，行政执法人员0人，事业人员2人，工勤人员3人；编外长聘人员2人。</w:t>
      </w:r>
    </w:p>
    <w:p>
      <w:pPr>
        <w:widowControl/>
        <w:autoSpaceDE w:val="0"/>
        <w:adjustRightInd w:val="0"/>
        <w:snapToGrid w:val="0"/>
        <w:spacing w:line="500" w:lineRule="exact"/>
        <w:ind w:firstLine="608" w:firstLineChars="200"/>
        <w:contextualSpacing/>
        <w:jc w:val="left"/>
        <w:rPr>
          <w:rFonts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widowControl/>
        <w:autoSpaceDE w:val="0"/>
        <w:adjustRightInd w:val="0"/>
        <w:snapToGrid w:val="0"/>
        <w:spacing w:line="580" w:lineRule="exact"/>
        <w:ind w:firstLine="640" w:firstLineChars="200"/>
        <w:contextualSpacing/>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（一）部门财政资金收入情况。</w:t>
      </w:r>
    </w:p>
    <w:p>
      <w:pPr>
        <w:autoSpaceDE w:val="0"/>
        <w:adjustRightInd w:val="0"/>
        <w:snapToGrid w:val="0"/>
        <w:spacing w:line="560" w:lineRule="exact"/>
        <w:ind w:firstLine="72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我单位2022年初本级部门预算安排支出共计166.80万元，含基本支出136.80万元，其中人员经费127.80万元，公用经费9万元；项目支出30万元，其中“智慧量服”手持终端服务费20万元；残疾人事业发展资金10万元。</w:t>
      </w:r>
    </w:p>
    <w:p>
      <w:pPr>
        <w:autoSpaceDE w:val="0"/>
        <w:adjustRightInd w:val="0"/>
        <w:snapToGrid w:val="0"/>
        <w:spacing w:line="560" w:lineRule="exact"/>
        <w:ind w:firstLine="720"/>
        <w:rPr>
          <w:rFonts w:ascii="Arial Narrow" w:hAnsi="Arial Narrow" w:eastAsia="仿宋"/>
          <w:sz w:val="32"/>
        </w:rPr>
      </w:pPr>
      <w:r>
        <w:rPr>
          <w:rFonts w:hint="eastAsia" w:ascii="仿宋_GB2312" w:hAnsi="宋体" w:eastAsia="仿宋_GB2312" w:cs="Times New Roman"/>
          <w:w w:val="99"/>
          <w:sz w:val="32"/>
          <w:szCs w:val="32"/>
        </w:rPr>
        <w:t>经预算调整，2022年度部门预算安排收入共计522.8</w:t>
      </w: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万元；其中：本年财政拨款收入522.8</w:t>
      </w: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万元，上年结转0万元，详情如</w:t>
      </w:r>
      <w:r>
        <w:rPr>
          <w:rFonts w:hint="eastAsia" w:ascii="Arial Narrow" w:hAnsi="Arial Narrow" w:eastAsia="仿宋"/>
          <w:sz w:val="32"/>
        </w:rPr>
        <w:t>下图：</w:t>
      </w:r>
    </w:p>
    <w:p>
      <w:pPr>
        <w:pStyle w:val="2"/>
        <w:ind w:left="840" w:hanging="420"/>
        <w:rPr>
          <w:lang w:val="zh-CN"/>
        </w:rPr>
      </w:pPr>
    </w:p>
    <w:p>
      <w:pPr>
        <w:spacing w:line="580" w:lineRule="exact"/>
        <w:ind w:firstLine="1237" w:firstLineChars="385"/>
        <w:contextualSpacing/>
        <w:rPr>
          <w:rFonts w:ascii="Arial Narrow" w:hAnsi="Arial Narrow" w:eastAsia="仿宋"/>
          <w:b/>
          <w:bCs/>
          <w:sz w:val="32"/>
        </w:rPr>
      </w:pPr>
      <w:r>
        <w:rPr>
          <w:rFonts w:hint="eastAsia" w:ascii="Arial Narrow" w:eastAsia="仿宋"/>
          <w:b/>
          <w:bCs/>
          <w:sz w:val="32"/>
          <w:lang w:val="zh-CN"/>
        </w:rPr>
        <w:t>广元市朝天区</w:t>
      </w:r>
      <w:r>
        <w:rPr>
          <w:rFonts w:hint="eastAsia" w:ascii="Arial Narrow" w:eastAsia="仿宋"/>
          <w:b/>
          <w:bCs/>
          <w:sz w:val="32"/>
        </w:rPr>
        <w:t>残联</w:t>
      </w:r>
      <w:r>
        <w:rPr>
          <w:rFonts w:hint="eastAsia" w:ascii="Arial Narrow" w:hAnsi="Arial Narrow" w:eastAsia="仿宋"/>
          <w:b/>
          <w:bCs/>
          <w:sz w:val="32"/>
        </w:rPr>
        <w:t>2022</w:t>
      </w:r>
      <w:r>
        <w:rPr>
          <w:rFonts w:hint="eastAsia" w:ascii="Arial Narrow" w:eastAsia="仿宋"/>
          <w:b/>
          <w:bCs/>
          <w:sz w:val="32"/>
        </w:rPr>
        <w:t>年收入情况表</w:t>
      </w:r>
    </w:p>
    <w:p>
      <w:pPr>
        <w:spacing w:line="360" w:lineRule="auto"/>
        <w:ind w:firstLine="640" w:firstLineChars="200"/>
        <w:contextualSpacing/>
        <w:jc w:val="right"/>
        <w:rPr>
          <w:rFonts w:ascii="Arial Narrow" w:hAnsi="Arial Narrow" w:eastAsia="仿宋" w:cs="仿宋"/>
          <w:sz w:val="32"/>
          <w:szCs w:val="32"/>
        </w:rPr>
      </w:pPr>
      <w:r>
        <w:rPr>
          <w:rFonts w:hint="eastAsia" w:ascii="Arial Narrow" w:eastAsia="仿宋"/>
          <w:sz w:val="32"/>
        </w:rPr>
        <w:t>单位：万元</w:t>
      </w:r>
    </w:p>
    <w:tbl>
      <w:tblPr>
        <w:tblStyle w:val="16"/>
        <w:tblW w:w="9048" w:type="dxa"/>
        <w:tblInd w:w="93" w:type="dxa"/>
        <w:tblLayout w:type="fixed"/>
        <w:tblCellMar>
          <w:top w:w="0" w:type="dxa"/>
          <w:left w:w="108" w:type="dxa"/>
          <w:bottom w:w="0" w:type="dxa"/>
          <w:right w:w="108" w:type="dxa"/>
        </w:tblCellMar>
      </w:tblPr>
      <w:tblGrid>
        <w:gridCol w:w="1080"/>
        <w:gridCol w:w="1080"/>
        <w:gridCol w:w="1080"/>
        <w:gridCol w:w="783"/>
        <w:gridCol w:w="1377"/>
        <w:gridCol w:w="1080"/>
        <w:gridCol w:w="1080"/>
        <w:gridCol w:w="717"/>
        <w:gridCol w:w="771"/>
      </w:tblGrid>
      <w:tr>
        <w:tblPrEx>
          <w:tblCellMar>
            <w:top w:w="0" w:type="dxa"/>
            <w:left w:w="108" w:type="dxa"/>
            <w:bottom w:w="0" w:type="dxa"/>
            <w:right w:w="108" w:type="dxa"/>
          </w:tblCellMar>
        </w:tblPrEx>
        <w:trPr>
          <w:trHeight w:val="5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单位</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预算</w:t>
            </w:r>
          </w:p>
        </w:tc>
        <w:tc>
          <w:tcPr>
            <w:tcW w:w="36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决算</w:t>
            </w:r>
          </w:p>
        </w:tc>
      </w:tr>
      <w:tr>
        <w:tblPrEx>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年初政拨款收入</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上年结转</w:t>
            </w:r>
          </w:p>
        </w:tc>
        <w:tc>
          <w:tcPr>
            <w:tcW w:w="1377" w:type="dxa"/>
            <w:vMerge w:val="restart"/>
            <w:tcBorders>
              <w:top w:val="single" w:color="auto"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预算调整数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当年财政拨款收入</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上年结转</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w:t>
            </w:r>
          </w:p>
        </w:tc>
      </w:tr>
      <w:tr>
        <w:tblPrEx>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3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广元市朝天区残疾人联合会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522.8</w:t>
            </w:r>
            <w:r>
              <w:rPr>
                <w:rFonts w:hint="eastAsia" w:ascii="宋体" w:hAnsi="宋体" w:cs="宋体"/>
                <w:color w:val="000000"/>
                <w:kern w:val="0"/>
                <w:sz w:val="22"/>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166.8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w:t>
            </w:r>
          </w:p>
        </w:tc>
        <w:tc>
          <w:tcPr>
            <w:tcW w:w="137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356.0</w:t>
            </w:r>
            <w:r>
              <w:rPr>
                <w:rFonts w:hint="eastAsia" w:ascii="宋体" w:hAnsi="宋体" w:cs="宋体"/>
                <w:color w:val="000000"/>
                <w:kern w:val="0"/>
                <w:sz w:val="22"/>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rPr>
              <w:t>522.</w:t>
            </w:r>
            <w:r>
              <w:rPr>
                <w:rFonts w:hint="eastAsia" w:ascii="宋体" w:hAnsi="宋体" w:cs="宋体"/>
                <w:color w:val="000000"/>
                <w:kern w:val="0"/>
                <w:sz w:val="22"/>
                <w:lang w:val="en-US" w:eastAsia="zh-CN"/>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522.7</w:t>
            </w:r>
            <w:r>
              <w:rPr>
                <w:rFonts w:hint="eastAsia" w:ascii="宋体" w:hAnsi="宋体" w:cs="宋体"/>
                <w:color w:val="000000"/>
                <w:kern w:val="0"/>
                <w:sz w:val="22"/>
                <w:lang w:val="en-US" w:eastAsia="zh-CN"/>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0.11</w:t>
            </w:r>
          </w:p>
        </w:tc>
      </w:tr>
    </w:tbl>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（二）部门财政资金支出情况。</w:t>
      </w:r>
    </w:p>
    <w:p>
      <w:pPr>
        <w:autoSpaceDE w:val="0"/>
        <w:adjustRightInd w:val="0"/>
        <w:snapToGrid w:val="0"/>
        <w:spacing w:line="560" w:lineRule="exact"/>
        <w:ind w:firstLine="720"/>
        <w:rPr>
          <w:rFonts w:ascii="Arial Narrow" w:hAnsi="Arial Narrow" w:eastAsia="仿宋"/>
          <w:sz w:val="32"/>
        </w:rPr>
      </w:pPr>
      <w:r>
        <w:rPr>
          <w:rFonts w:hint="eastAsia" w:ascii="仿宋_GB2312" w:hAnsi="宋体" w:eastAsia="仿宋_GB2312" w:cs="Times New Roman"/>
          <w:w w:val="99"/>
          <w:sz w:val="32"/>
          <w:szCs w:val="32"/>
        </w:rPr>
        <w:t>2022年度整体部门决算支出522.8</w:t>
      </w: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万元，其中基本支出161.7</w:t>
      </w:r>
      <w:r>
        <w:rPr>
          <w:rFonts w:hint="eastAsia" w:ascii="仿宋_GB2312" w:hAnsi="宋体" w:eastAsia="仿宋_GB2312" w:cs="Times New Roman"/>
          <w:w w:val="99"/>
          <w:sz w:val="32"/>
          <w:szCs w:val="32"/>
          <w:lang w:val="en-US" w:eastAsia="zh-CN"/>
        </w:rPr>
        <w:t>7</w:t>
      </w:r>
      <w:r>
        <w:rPr>
          <w:rFonts w:hint="eastAsia" w:ascii="仿宋_GB2312" w:hAnsi="宋体" w:eastAsia="仿宋_GB2312" w:cs="Times New Roman"/>
          <w:w w:val="99"/>
          <w:sz w:val="32"/>
          <w:szCs w:val="32"/>
        </w:rPr>
        <w:t>万元，项目支出361.05万元</w:t>
      </w:r>
      <w:r>
        <w:rPr>
          <w:rFonts w:hint="eastAsia" w:ascii="Arial Narrow" w:hAnsi="Arial Narrow" w:eastAsia="仿宋"/>
          <w:sz w:val="32"/>
        </w:rPr>
        <w:t>：</w:t>
      </w:r>
    </w:p>
    <w:p>
      <w:pPr>
        <w:numPr>
          <w:ilvl w:val="0"/>
          <w:numId w:val="7"/>
        </w:numPr>
        <w:spacing w:line="580" w:lineRule="exact"/>
        <w:ind w:firstLine="632" w:firstLineChars="200"/>
        <w:contextualSpacing/>
        <w:rPr>
          <w:rFonts w:ascii="Arial Narrow" w:eastAsia="仿宋"/>
          <w:sz w:val="32"/>
          <w:lang w:val="zh-CN"/>
        </w:rPr>
      </w:pPr>
      <w:r>
        <w:rPr>
          <w:rFonts w:hint="eastAsia" w:ascii="仿宋_GB2312" w:hAnsi="宋体" w:eastAsia="仿宋_GB2312" w:cs="Times New Roman"/>
          <w:w w:val="99"/>
          <w:sz w:val="32"/>
          <w:szCs w:val="32"/>
        </w:rPr>
        <w:t>基本支出  人员经费</w:t>
      </w:r>
      <w:r>
        <w:rPr>
          <w:rFonts w:hint="eastAsia" w:ascii="仿宋_GB2312" w:hAnsi="宋体" w:eastAsia="仿宋_GB2312" w:cs="Times New Roman"/>
          <w:w w:val="99"/>
          <w:sz w:val="32"/>
          <w:szCs w:val="32"/>
          <w:lang w:val="en-US" w:eastAsia="zh-CN"/>
        </w:rPr>
        <w:t>145.14</w:t>
      </w:r>
      <w:r>
        <w:rPr>
          <w:rFonts w:hint="eastAsia" w:ascii="仿宋_GB2312" w:hAnsi="宋体" w:eastAsia="仿宋_GB2312" w:cs="Times New Roman"/>
          <w:w w:val="99"/>
          <w:sz w:val="32"/>
          <w:szCs w:val="32"/>
        </w:rPr>
        <w:t>万元:主要用于人员工资40.47万元、津贴补贴23.07万元、目标绩效奖35.25万元、事业人员绩效工资4.90万元、养老保险</w:t>
      </w:r>
      <w:r>
        <w:rPr>
          <w:rFonts w:hint="eastAsia" w:ascii="仿宋_GB2312" w:hAnsi="宋体" w:eastAsia="仿宋_GB2312" w:cs="Times New Roman"/>
          <w:w w:val="99"/>
          <w:sz w:val="32"/>
          <w:szCs w:val="32"/>
          <w:lang w:val="en-US" w:eastAsia="zh-CN"/>
        </w:rPr>
        <w:t>10.61</w:t>
      </w:r>
      <w:r>
        <w:rPr>
          <w:rFonts w:hint="eastAsia" w:ascii="仿宋_GB2312" w:hAnsi="宋体" w:eastAsia="仿宋_GB2312" w:cs="Times New Roman"/>
          <w:w w:val="99"/>
          <w:sz w:val="32"/>
          <w:szCs w:val="32"/>
        </w:rPr>
        <w:t>万元、医疗保险5.92万元、工伤失业保险0.50万元、住房公积金11.54万元、职业年金4.36万元、编外长聘人员工资7.00万元、独子费0.0</w:t>
      </w:r>
      <w:r>
        <w:rPr>
          <w:rFonts w:hint="eastAsia" w:ascii="仿宋_GB2312" w:hAnsi="宋体" w:eastAsia="仿宋_GB2312" w:cs="Times New Roman"/>
          <w:w w:val="99"/>
          <w:sz w:val="32"/>
          <w:szCs w:val="32"/>
          <w:lang w:val="en-US" w:eastAsia="zh-CN"/>
        </w:rPr>
        <w:t>4</w:t>
      </w:r>
      <w:r>
        <w:rPr>
          <w:rFonts w:hint="eastAsia" w:ascii="仿宋_GB2312" w:hAnsi="宋体" w:eastAsia="仿宋_GB2312" w:cs="Times New Roman"/>
          <w:w w:val="99"/>
          <w:sz w:val="32"/>
          <w:szCs w:val="32"/>
        </w:rPr>
        <w:t>万元、退休人员一次性补贴1.48万元等。公用经费16.</w:t>
      </w:r>
      <w:r>
        <w:rPr>
          <w:rFonts w:hint="eastAsia" w:ascii="仿宋_GB2312" w:hAnsi="宋体" w:eastAsia="仿宋_GB2312" w:cs="Times New Roman"/>
          <w:w w:val="99"/>
          <w:sz w:val="32"/>
          <w:szCs w:val="32"/>
          <w:lang w:val="en-US" w:eastAsia="zh-CN"/>
        </w:rPr>
        <w:t>63</w:t>
      </w:r>
      <w:r>
        <w:rPr>
          <w:rFonts w:hint="eastAsia" w:ascii="仿宋_GB2312" w:hAnsi="宋体" w:eastAsia="仿宋_GB2312" w:cs="Times New Roman"/>
          <w:w w:val="99"/>
          <w:sz w:val="32"/>
          <w:szCs w:val="32"/>
        </w:rPr>
        <w:t>万元:主要用于办公费1.74万元、印刷费0.3万元、水费0.11万元、电费1.21万元、邮电费2.50万元、差旅费2.6</w:t>
      </w: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万元、维修（护）费0.27万元、租赁费0.5</w:t>
      </w: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rPr>
        <w:t>万元、公务接待0.94万元、其他支出0.11万元、公务交通补贴6.28万元。</w:t>
      </w:r>
    </w:p>
    <w:p>
      <w:pPr>
        <w:numPr>
          <w:ilvl w:val="0"/>
          <w:numId w:val="7"/>
        </w:numPr>
        <w:spacing w:line="580" w:lineRule="exact"/>
        <w:ind w:firstLine="632" w:firstLineChars="200"/>
        <w:contextualSpacing/>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项目预算支出361.05万元（其中：“智慧量服”手持终端服务费20万元；残疾人事业发展支出326.05万元；东西部协作资金9.00万元；残疾人代表大会6万元)</w:t>
      </w:r>
    </w:p>
    <w:p>
      <w:pPr>
        <w:pStyle w:val="2"/>
        <w:ind w:left="420" w:firstLine="0" w:firstLineChars="0"/>
        <w:rPr>
          <w:lang w:val="zh-CN"/>
        </w:rPr>
      </w:pPr>
    </w:p>
    <w:p>
      <w:pPr>
        <w:spacing w:line="580" w:lineRule="exact"/>
        <w:contextualSpacing/>
        <w:jc w:val="center"/>
        <w:rPr>
          <w:rFonts w:ascii="Arial Narrow" w:hAnsi="Arial Narrow" w:eastAsia="仿宋"/>
          <w:b/>
          <w:bCs/>
          <w:sz w:val="32"/>
        </w:rPr>
      </w:pPr>
      <w:r>
        <w:rPr>
          <w:rFonts w:hint="eastAsia" w:ascii="Arial Narrow" w:eastAsia="仿宋"/>
          <w:b/>
          <w:bCs/>
          <w:sz w:val="32"/>
        </w:rPr>
        <w:t xml:space="preserve"> </w:t>
      </w:r>
      <w:r>
        <w:rPr>
          <w:rFonts w:hint="eastAsia" w:ascii="Arial Narrow" w:eastAsia="仿宋"/>
          <w:b/>
          <w:bCs/>
          <w:sz w:val="32"/>
          <w:lang w:val="zh-CN"/>
        </w:rPr>
        <w:t>广元市朝天区</w:t>
      </w:r>
      <w:r>
        <w:rPr>
          <w:rFonts w:hint="eastAsia" w:ascii="Arial Narrow" w:eastAsia="仿宋"/>
          <w:b/>
          <w:bCs/>
          <w:sz w:val="32"/>
        </w:rPr>
        <w:t>残联</w:t>
      </w:r>
      <w:r>
        <w:rPr>
          <w:rFonts w:hint="eastAsia" w:ascii="Arial Narrow" w:hAnsi="Arial Narrow" w:eastAsia="仿宋"/>
          <w:b/>
          <w:bCs/>
          <w:sz w:val="32"/>
        </w:rPr>
        <w:t>2022</w:t>
      </w:r>
      <w:r>
        <w:rPr>
          <w:rFonts w:hint="eastAsia" w:ascii="Arial Narrow" w:eastAsia="仿宋"/>
          <w:b/>
          <w:bCs/>
          <w:sz w:val="32"/>
        </w:rPr>
        <w:t>年支出情况表</w:t>
      </w:r>
    </w:p>
    <w:p>
      <w:pPr>
        <w:spacing w:line="360" w:lineRule="auto"/>
        <w:ind w:firstLine="640" w:firstLineChars="200"/>
        <w:contextualSpacing/>
        <w:jc w:val="right"/>
        <w:rPr>
          <w:rFonts w:ascii="Arial Narrow" w:hAnsi="Arial Narrow" w:eastAsia="仿宋"/>
          <w:sz w:val="32"/>
        </w:rPr>
      </w:pPr>
      <w:r>
        <w:rPr>
          <w:rFonts w:hint="eastAsia" w:ascii="Arial Narrow" w:eastAsia="仿宋"/>
          <w:sz w:val="32"/>
        </w:rPr>
        <w:t>单位：万元</w:t>
      </w:r>
    </w:p>
    <w:tbl>
      <w:tblPr>
        <w:tblStyle w:val="16"/>
        <w:tblW w:w="8609" w:type="dxa"/>
        <w:jc w:val="center"/>
        <w:tblLayout w:type="fixed"/>
        <w:tblCellMar>
          <w:top w:w="0" w:type="dxa"/>
          <w:left w:w="108" w:type="dxa"/>
          <w:bottom w:w="0" w:type="dxa"/>
          <w:right w:w="108" w:type="dxa"/>
        </w:tblCellMar>
      </w:tblPr>
      <w:tblGrid>
        <w:gridCol w:w="1571"/>
        <w:gridCol w:w="1011"/>
        <w:gridCol w:w="1281"/>
        <w:gridCol w:w="1146"/>
        <w:gridCol w:w="1173"/>
        <w:gridCol w:w="1269"/>
        <w:gridCol w:w="1158"/>
      </w:tblGrid>
      <w:tr>
        <w:tblPrEx>
          <w:tblCellMar>
            <w:top w:w="0" w:type="dxa"/>
            <w:left w:w="108" w:type="dxa"/>
            <w:bottom w:w="0" w:type="dxa"/>
            <w:right w:w="108" w:type="dxa"/>
          </w:tblCellMar>
        </w:tblPrEx>
        <w:trPr>
          <w:trHeight w:val="500" w:hRule="exact"/>
          <w:jc w:val="center"/>
        </w:trPr>
        <w:tc>
          <w:tcPr>
            <w:tcW w:w="157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contextualSpacing/>
              <w:jc w:val="center"/>
              <w:rPr>
                <w:rFonts w:ascii="Arial Narrow" w:hAnsi="仿宋" w:eastAsia="仿宋" w:cs="仿宋"/>
                <w:szCs w:val="21"/>
                <w:lang w:val="zh-CN"/>
              </w:rPr>
            </w:pPr>
            <w:r>
              <w:rPr>
                <w:rFonts w:hint="eastAsia" w:ascii="Arial Narrow" w:hAnsi="仿宋" w:eastAsia="仿宋" w:cs="仿宋"/>
                <w:szCs w:val="21"/>
                <w:lang w:val="zh-CN"/>
              </w:rPr>
              <w:t>单位</w:t>
            </w:r>
          </w:p>
        </w:tc>
        <w:tc>
          <w:tcPr>
            <w:tcW w:w="3438" w:type="dxa"/>
            <w:gridSpan w:val="3"/>
            <w:tcBorders>
              <w:top w:val="single" w:color="auto" w:sz="4" w:space="0"/>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全年预算</w:t>
            </w:r>
          </w:p>
        </w:tc>
        <w:tc>
          <w:tcPr>
            <w:tcW w:w="3600" w:type="dxa"/>
            <w:gridSpan w:val="3"/>
            <w:tcBorders>
              <w:top w:val="single" w:color="auto" w:sz="4" w:space="0"/>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决算</w:t>
            </w:r>
          </w:p>
        </w:tc>
      </w:tr>
      <w:tr>
        <w:tblPrEx>
          <w:tblCellMar>
            <w:top w:w="0" w:type="dxa"/>
            <w:left w:w="108" w:type="dxa"/>
            <w:bottom w:w="0" w:type="dxa"/>
            <w:right w:w="108" w:type="dxa"/>
          </w:tblCellMar>
        </w:tblPrEx>
        <w:trPr>
          <w:trHeight w:val="507" w:hRule="exac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contextualSpacing/>
              <w:jc w:val="center"/>
              <w:rPr>
                <w:rFonts w:ascii="Arial Narrow" w:hAnsi="仿宋" w:eastAsia="仿宋" w:cs="仿宋"/>
                <w:szCs w:val="21"/>
                <w:lang w:val="zh-CN"/>
              </w:rPr>
            </w:pPr>
          </w:p>
        </w:tc>
        <w:tc>
          <w:tcPr>
            <w:tcW w:w="1011" w:type="dxa"/>
            <w:tcBorders>
              <w:top w:val="nil"/>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281" w:type="dxa"/>
            <w:tcBorders>
              <w:top w:val="nil"/>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基本支出</w:t>
            </w:r>
          </w:p>
        </w:tc>
        <w:tc>
          <w:tcPr>
            <w:tcW w:w="1146" w:type="dxa"/>
            <w:tcBorders>
              <w:top w:val="nil"/>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项目支出</w:t>
            </w:r>
          </w:p>
        </w:tc>
        <w:tc>
          <w:tcPr>
            <w:tcW w:w="1173" w:type="dxa"/>
            <w:tcBorders>
              <w:top w:val="nil"/>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269" w:type="dxa"/>
            <w:tcBorders>
              <w:top w:val="nil"/>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基本支出</w:t>
            </w:r>
          </w:p>
        </w:tc>
        <w:tc>
          <w:tcPr>
            <w:tcW w:w="1158" w:type="dxa"/>
            <w:tcBorders>
              <w:top w:val="nil"/>
              <w:left w:val="nil"/>
              <w:bottom w:val="single" w:color="auto" w:sz="4" w:space="0"/>
              <w:right w:val="single" w:color="auto" w:sz="4" w:space="0"/>
            </w:tcBorders>
            <w:vAlign w:val="center"/>
          </w:tcPr>
          <w:p>
            <w:pPr>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项目支出</w:t>
            </w:r>
          </w:p>
        </w:tc>
      </w:tr>
      <w:tr>
        <w:tblPrEx>
          <w:tblCellMar>
            <w:top w:w="0" w:type="dxa"/>
            <w:left w:w="108" w:type="dxa"/>
            <w:bottom w:w="0" w:type="dxa"/>
            <w:right w:w="108" w:type="dxa"/>
          </w:tblCellMar>
        </w:tblPrEx>
        <w:trPr>
          <w:trHeight w:val="662" w:hRule="exact"/>
          <w:jc w:val="center"/>
        </w:trPr>
        <w:tc>
          <w:tcPr>
            <w:tcW w:w="1571" w:type="dxa"/>
            <w:tcBorders>
              <w:top w:val="nil"/>
              <w:left w:val="single" w:color="auto" w:sz="4" w:space="0"/>
              <w:bottom w:val="single" w:color="auto" w:sz="4" w:space="0"/>
              <w:right w:val="single" w:color="auto" w:sz="4" w:space="0"/>
            </w:tcBorders>
            <w:vAlign w:val="center"/>
          </w:tcPr>
          <w:p>
            <w:pPr>
              <w:spacing w:line="240" w:lineRule="exact"/>
              <w:contextualSpacing/>
              <w:jc w:val="center"/>
              <w:rPr>
                <w:rFonts w:ascii="Arial Narrow" w:hAnsi="仿宋" w:eastAsia="仿宋" w:cs="仿宋"/>
                <w:szCs w:val="21"/>
              </w:rPr>
            </w:pPr>
            <w:r>
              <w:rPr>
                <w:rFonts w:hint="eastAsia" w:ascii="仿宋" w:hAnsi="仿宋" w:eastAsia="仿宋" w:cs="仿宋"/>
                <w:color w:val="000000"/>
                <w:kern w:val="0"/>
                <w:szCs w:val="21"/>
              </w:rPr>
              <w:t>广元市朝天区残疾人联合会</w:t>
            </w:r>
          </w:p>
        </w:tc>
        <w:tc>
          <w:tcPr>
            <w:tcW w:w="1011" w:type="dxa"/>
            <w:tcBorders>
              <w:top w:val="nil"/>
              <w:left w:val="nil"/>
              <w:bottom w:val="single" w:color="auto" w:sz="4" w:space="0"/>
              <w:right w:val="single" w:color="auto" w:sz="4" w:space="0"/>
            </w:tcBorders>
            <w:vAlign w:val="center"/>
          </w:tcPr>
          <w:p>
            <w:pPr>
              <w:spacing w:line="240" w:lineRule="exact"/>
              <w:jc w:val="center"/>
              <w:textAlignment w:val="center"/>
              <w:rPr>
                <w:rFonts w:ascii="宋体" w:hAnsi="宋体" w:eastAsia="宋体" w:cs="宋体"/>
                <w:kern w:val="0"/>
                <w:sz w:val="22"/>
              </w:rPr>
            </w:pPr>
            <w:r>
              <w:rPr>
                <w:rFonts w:hint="eastAsia" w:ascii="宋体" w:hAnsi="宋体" w:eastAsia="宋体" w:cs="宋体"/>
                <w:kern w:val="0"/>
                <w:sz w:val="22"/>
              </w:rPr>
              <w:t>522.81</w:t>
            </w:r>
          </w:p>
        </w:tc>
        <w:tc>
          <w:tcPr>
            <w:tcW w:w="1281" w:type="dxa"/>
            <w:tcBorders>
              <w:top w:val="nil"/>
              <w:left w:val="nil"/>
              <w:bottom w:val="single" w:color="auto" w:sz="4" w:space="0"/>
              <w:right w:val="single" w:color="auto" w:sz="4" w:space="0"/>
            </w:tcBorders>
            <w:vAlign w:val="center"/>
          </w:tcPr>
          <w:p>
            <w:pPr>
              <w:spacing w:line="240" w:lineRule="exact"/>
              <w:jc w:val="center"/>
              <w:textAlignment w:val="center"/>
              <w:rPr>
                <w:rFonts w:ascii="宋体" w:hAnsi="宋体" w:eastAsia="宋体" w:cs="宋体"/>
                <w:kern w:val="0"/>
                <w:sz w:val="22"/>
              </w:rPr>
            </w:pPr>
            <w:r>
              <w:rPr>
                <w:rFonts w:hint="eastAsia" w:ascii="宋体" w:hAnsi="宋体" w:eastAsia="宋体" w:cs="宋体"/>
                <w:kern w:val="0"/>
                <w:sz w:val="22"/>
              </w:rPr>
              <w:t>161.76</w:t>
            </w:r>
          </w:p>
        </w:tc>
        <w:tc>
          <w:tcPr>
            <w:tcW w:w="1146" w:type="dxa"/>
            <w:tcBorders>
              <w:top w:val="nil"/>
              <w:left w:val="nil"/>
              <w:bottom w:val="single" w:color="auto" w:sz="4" w:space="0"/>
              <w:right w:val="single" w:color="auto" w:sz="4" w:space="0"/>
            </w:tcBorders>
            <w:vAlign w:val="center"/>
          </w:tcPr>
          <w:p>
            <w:pPr>
              <w:spacing w:line="240" w:lineRule="exact"/>
              <w:jc w:val="center"/>
              <w:textAlignment w:val="center"/>
              <w:rPr>
                <w:rFonts w:ascii="宋体" w:hAnsi="宋体" w:eastAsia="宋体" w:cs="宋体"/>
                <w:kern w:val="0"/>
                <w:sz w:val="22"/>
              </w:rPr>
            </w:pPr>
            <w:r>
              <w:rPr>
                <w:rFonts w:hint="eastAsia" w:ascii="宋体" w:hAnsi="宋体" w:eastAsia="宋体" w:cs="宋体"/>
                <w:kern w:val="0"/>
                <w:sz w:val="22"/>
              </w:rPr>
              <w:t>361.05</w:t>
            </w:r>
          </w:p>
        </w:tc>
        <w:tc>
          <w:tcPr>
            <w:tcW w:w="1173" w:type="dxa"/>
            <w:tcBorders>
              <w:top w:val="nil"/>
              <w:left w:val="nil"/>
              <w:bottom w:val="single" w:color="auto" w:sz="4" w:space="0"/>
              <w:right w:val="single" w:color="auto" w:sz="4" w:space="0"/>
            </w:tcBorders>
            <w:vAlign w:val="center"/>
          </w:tcPr>
          <w:p>
            <w:pPr>
              <w:spacing w:line="240" w:lineRule="exact"/>
              <w:jc w:val="center"/>
              <w:textAlignment w:val="center"/>
              <w:rPr>
                <w:rFonts w:ascii="宋体" w:hAnsi="宋体" w:eastAsia="宋体" w:cs="宋体"/>
                <w:kern w:val="0"/>
                <w:sz w:val="22"/>
              </w:rPr>
            </w:pPr>
            <w:r>
              <w:rPr>
                <w:rFonts w:hint="eastAsia" w:ascii="宋体" w:hAnsi="宋体" w:eastAsia="宋体" w:cs="宋体"/>
                <w:kern w:val="0"/>
                <w:sz w:val="22"/>
              </w:rPr>
              <w:t>522.81</w:t>
            </w:r>
          </w:p>
        </w:tc>
        <w:tc>
          <w:tcPr>
            <w:tcW w:w="1269" w:type="dxa"/>
            <w:tcBorders>
              <w:top w:val="nil"/>
              <w:left w:val="nil"/>
              <w:bottom w:val="single" w:color="auto" w:sz="4" w:space="0"/>
              <w:right w:val="single" w:color="auto" w:sz="4" w:space="0"/>
            </w:tcBorders>
            <w:vAlign w:val="center"/>
          </w:tcPr>
          <w:p>
            <w:pPr>
              <w:spacing w:line="240" w:lineRule="exact"/>
              <w:jc w:val="center"/>
              <w:textAlignment w:val="center"/>
              <w:rPr>
                <w:rFonts w:ascii="宋体" w:hAnsi="宋体" w:eastAsia="宋体" w:cs="宋体"/>
                <w:kern w:val="0"/>
                <w:sz w:val="22"/>
              </w:rPr>
            </w:pPr>
            <w:r>
              <w:rPr>
                <w:rFonts w:hint="eastAsia" w:ascii="宋体" w:hAnsi="宋体" w:eastAsia="宋体" w:cs="宋体"/>
                <w:kern w:val="0"/>
                <w:sz w:val="22"/>
              </w:rPr>
              <w:t>161.76</w:t>
            </w:r>
          </w:p>
        </w:tc>
        <w:tc>
          <w:tcPr>
            <w:tcW w:w="1158" w:type="dxa"/>
            <w:tcBorders>
              <w:top w:val="nil"/>
              <w:left w:val="nil"/>
              <w:bottom w:val="single" w:color="auto" w:sz="4" w:space="0"/>
              <w:right w:val="single" w:color="auto" w:sz="4" w:space="0"/>
            </w:tcBorders>
            <w:vAlign w:val="center"/>
          </w:tcPr>
          <w:p>
            <w:pPr>
              <w:spacing w:line="240" w:lineRule="exact"/>
              <w:jc w:val="center"/>
              <w:textAlignment w:val="center"/>
              <w:rPr>
                <w:rFonts w:ascii="宋体" w:hAnsi="宋体" w:eastAsia="宋体" w:cs="宋体"/>
                <w:kern w:val="0"/>
                <w:sz w:val="22"/>
              </w:rPr>
            </w:pPr>
            <w:r>
              <w:rPr>
                <w:rFonts w:hint="eastAsia" w:ascii="宋体" w:hAnsi="宋体" w:eastAsia="宋体" w:cs="宋体"/>
                <w:kern w:val="0"/>
                <w:sz w:val="22"/>
              </w:rPr>
              <w:t>361.05</w:t>
            </w:r>
          </w:p>
        </w:tc>
      </w:tr>
    </w:tbl>
    <w:p>
      <w:pPr>
        <w:widowControl/>
        <w:numPr>
          <w:ilvl w:val="0"/>
          <w:numId w:val="8"/>
        </w:numPr>
        <w:autoSpaceDE w:val="0"/>
        <w:adjustRightInd w:val="0"/>
        <w:snapToGrid w:val="0"/>
        <w:spacing w:line="580" w:lineRule="exact"/>
        <w:ind w:firstLine="640" w:firstLineChars="200"/>
        <w:contextualSpacing/>
        <w:jc w:val="left"/>
        <w:rPr>
          <w:rFonts w:ascii="黑体" w:hAnsi="黑体" w:eastAsia="黑体" w:cs="Times New Roman"/>
          <w:kern w:val="0"/>
          <w:sz w:val="32"/>
          <w:szCs w:val="32"/>
          <w:shd w:val="clear" w:color="auto" w:fill="FFFFFF"/>
        </w:rPr>
      </w:pPr>
      <w:r>
        <w:rPr>
          <w:rFonts w:hint="eastAsia" w:ascii="黑体" w:hAnsi="黑体" w:eastAsia="黑体" w:cs="Times New Roman"/>
          <w:kern w:val="0"/>
          <w:sz w:val="32"/>
          <w:szCs w:val="32"/>
          <w:shd w:val="clear" w:color="auto" w:fill="FFFFFF"/>
        </w:rPr>
        <w:t>部门整体预算绩效管理情况</w:t>
      </w:r>
    </w:p>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（一）部门预算项目绩效管理。</w:t>
      </w:r>
    </w:p>
    <w:p>
      <w:pPr>
        <w:widowControl/>
        <w:autoSpaceDE w:val="0"/>
        <w:adjustRightInd w:val="0"/>
        <w:snapToGrid w:val="0"/>
        <w:spacing w:line="580" w:lineRule="exact"/>
        <w:ind w:firstLine="640" w:firstLineChars="200"/>
        <w:contextualSpacing/>
        <w:jc w:val="left"/>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1.目标管理</w:t>
      </w:r>
    </w:p>
    <w:p>
      <w:pPr>
        <w:widowControl/>
        <w:autoSpaceDE w:val="0"/>
        <w:adjustRightInd w:val="0"/>
        <w:snapToGrid w:val="0"/>
        <w:spacing w:line="580" w:lineRule="exact"/>
        <w:ind w:firstLine="640" w:firstLineChars="200"/>
        <w:contextualSpacing/>
        <w:jc w:val="left"/>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（1）目标制定</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①数量指标：智慧量服”手持终端服务费164人；残疾人事业发展补助资金项目6个支出方向；东西部协作项目200人；召开一场残疾人代表选举大会；②质量指标：“智慧量服”手持终端服务畅通率95％；残疾人事业发展项目达标率80％；东西部协作项目实施合格率95％；会议举办成功率100％；；③时效指标：完成时间2022年12月31日；④成本指标：完成成本≤522.81万元；⑤经济效益指标：无；⑥社会效益指标：对各项残疾人事业发展有所促进；⑦可持续效益指标：推动各项残疾人事业发展工作效能有所提升；⑧满意度指标：各项残疾人事业发展服务对象满意度≥95%。</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绩效目标编制要素完整，绩效指标细化量化，绩效目标纳入部门党组会议集体决策范围。共15分，得15分。</w:t>
      </w:r>
    </w:p>
    <w:p>
      <w:pPr>
        <w:widowControl/>
        <w:autoSpaceDE w:val="0"/>
        <w:adjustRightInd w:val="0"/>
        <w:snapToGrid w:val="0"/>
        <w:spacing w:line="580" w:lineRule="exact"/>
        <w:ind w:firstLine="640" w:firstLineChars="200"/>
        <w:contextualSpacing/>
        <w:jc w:val="left"/>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（2）目标实现</w:t>
      </w:r>
    </w:p>
    <w:p>
      <w:pPr>
        <w:pStyle w:val="15"/>
        <w:spacing w:line="580" w:lineRule="exact"/>
        <w:ind w:left="0" w:leftChars="0" w:firstLine="640" w:firstLineChars="200"/>
        <w:rPr>
          <w:rFonts w:ascii="仿宋_GB2312" w:hAnsi="宋体" w:eastAsia="仿宋_GB2312" w:cs="Times New Roman"/>
          <w:w w:val="99"/>
          <w:sz w:val="32"/>
          <w:szCs w:val="32"/>
        </w:rPr>
      </w:pPr>
      <w:r>
        <w:rPr>
          <w:rFonts w:hint="eastAsia" w:ascii="Arial Narrow" w:eastAsia="仿宋"/>
          <w:sz w:val="32"/>
        </w:rPr>
        <w:t>我单位绩效目标实际实现程度与预期目标的偏</w:t>
      </w:r>
      <w:r>
        <w:rPr>
          <w:rFonts w:hint="eastAsia" w:ascii="仿宋_GB2312" w:hAnsi="宋体" w:eastAsia="仿宋_GB2312" w:cs="Times New Roman"/>
          <w:w w:val="99"/>
          <w:sz w:val="32"/>
          <w:szCs w:val="32"/>
        </w:rPr>
        <w:t>离度为0，得10分。</w:t>
      </w:r>
    </w:p>
    <w:p>
      <w:pPr>
        <w:widowControl/>
        <w:autoSpaceDE w:val="0"/>
        <w:adjustRightInd w:val="0"/>
        <w:snapToGrid w:val="0"/>
        <w:spacing w:line="580" w:lineRule="exact"/>
        <w:ind w:firstLine="640" w:firstLineChars="200"/>
        <w:contextualSpacing/>
        <w:jc w:val="left"/>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2.动态调整</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（1）支出控制</w:t>
      </w:r>
    </w:p>
    <w:p>
      <w:pPr>
        <w:autoSpaceDE w:val="0"/>
        <w:adjustRightInd w:val="0"/>
        <w:snapToGrid w:val="0"/>
        <w:spacing w:line="560" w:lineRule="exact"/>
        <w:ind w:firstLine="72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2022年</w:t>
      </w:r>
      <w:r>
        <w:rPr>
          <w:rFonts w:hint="eastAsia" w:ascii="仿宋_GB2312" w:hAnsi="宋体" w:eastAsia="仿宋_GB2312" w:cs="Times New Roman"/>
          <w:w w:val="99"/>
          <w:sz w:val="32"/>
          <w:szCs w:val="32"/>
          <w:lang w:val="zh-CN"/>
        </w:rPr>
        <w:t>我单位</w:t>
      </w:r>
      <w:r>
        <w:rPr>
          <w:rFonts w:hint="eastAsia" w:ascii="仿宋_GB2312" w:hAnsi="宋体" w:eastAsia="仿宋_GB2312" w:cs="Times New Roman"/>
          <w:w w:val="99"/>
          <w:sz w:val="32"/>
          <w:szCs w:val="32"/>
        </w:rPr>
        <w:t>公用经费年初预算为15.28万元(含公务交通补贴6.28万元），预算调整数为1.35万元，共计16.63万元(含公务交通补贴6.28万元）；2022年末决算数为16.63万元；预决算偏差程度为0，共5分，得5分。</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3.完成效率</w:t>
      </w:r>
    </w:p>
    <w:p>
      <w:pPr>
        <w:pStyle w:val="15"/>
        <w:spacing w:line="580" w:lineRule="exact"/>
        <w:ind w:left="0" w:leftChars="0"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（1）预算完成</w:t>
      </w:r>
    </w:p>
    <w:p>
      <w:pPr>
        <w:pStyle w:val="15"/>
        <w:spacing w:line="580" w:lineRule="exact"/>
        <w:ind w:left="0" w:leftChars="0" w:firstLine="640" w:firstLineChars="200"/>
        <w:rPr>
          <w:rFonts w:hint="eastAsia" w:ascii="仿宋_GB2312" w:hAnsi="宋体" w:eastAsia="仿宋_GB2312" w:cs="Times New Roman"/>
          <w:w w:val="99"/>
          <w:sz w:val="32"/>
          <w:szCs w:val="32"/>
        </w:rPr>
      </w:pPr>
      <w:r>
        <w:rPr>
          <w:rFonts w:hint="eastAsia" w:ascii="仿宋_GB2312" w:hAnsi="Times New Roman" w:eastAsia="仿宋_GB2312" w:cs="Times New Roman"/>
          <w:kern w:val="0"/>
          <w:sz w:val="32"/>
          <w:szCs w:val="32"/>
          <w:shd w:val="clear" w:color="auto" w:fill="FFFFFF"/>
        </w:rPr>
        <w:t>2</w:t>
      </w:r>
      <w:r>
        <w:rPr>
          <w:rFonts w:hint="eastAsia" w:ascii="仿宋_GB2312" w:hAnsi="宋体" w:eastAsia="仿宋_GB2312" w:cs="Times New Roman"/>
          <w:w w:val="99"/>
          <w:sz w:val="32"/>
          <w:szCs w:val="32"/>
        </w:rPr>
        <w:t>022年末预算执行进度共10分，得10分。</w:t>
      </w:r>
    </w:p>
    <w:p>
      <w:pPr>
        <w:pStyle w:val="15"/>
        <w:spacing w:line="580" w:lineRule="exact"/>
        <w:ind w:left="0" w:leftChars="0" w:firstLine="632" w:firstLineChars="200"/>
        <w:rPr>
          <w:rFonts w:ascii="仿宋_GB2312" w:hAnsi="Times New Roman" w:eastAsia="仿宋_GB2312" w:cs="Times New Roman"/>
          <w:kern w:val="0"/>
          <w:sz w:val="32"/>
          <w:szCs w:val="32"/>
          <w:shd w:val="clear" w:color="auto" w:fill="FFFFFF"/>
        </w:rPr>
      </w:pPr>
      <w:r>
        <w:rPr>
          <w:rFonts w:hint="eastAsia" w:hAnsi="宋体" w:eastAsia="仿宋_GB2312" w:cs="Times New Roman"/>
          <w:w w:val="99"/>
          <w:sz w:val="32"/>
          <w:szCs w:val="32"/>
          <w:lang w:eastAsia="zh-CN"/>
        </w:rPr>
        <w:t>（</w:t>
      </w:r>
      <w:r>
        <w:rPr>
          <w:rFonts w:hint="eastAsia" w:hAnsi="宋体" w:eastAsia="仿宋_GB2312" w:cs="Times New Roman"/>
          <w:w w:val="99"/>
          <w:sz w:val="32"/>
          <w:szCs w:val="32"/>
          <w:lang w:val="en-US" w:eastAsia="zh-CN"/>
        </w:rPr>
        <w:t>2</w:t>
      </w:r>
      <w:r>
        <w:rPr>
          <w:rFonts w:hint="eastAsia" w:hAnsi="宋体" w:eastAsia="仿宋_GB2312" w:cs="Times New Roman"/>
          <w:w w:val="99"/>
          <w:sz w:val="32"/>
          <w:szCs w:val="32"/>
          <w:lang w:eastAsia="zh-CN"/>
        </w:rPr>
        <w:t>）</w:t>
      </w:r>
      <w:r>
        <w:rPr>
          <w:rFonts w:hint="eastAsia" w:ascii="仿宋_GB2312" w:hAnsi="Times New Roman" w:eastAsia="仿宋_GB2312" w:cs="Times New Roman"/>
          <w:kern w:val="0"/>
          <w:sz w:val="32"/>
          <w:szCs w:val="32"/>
          <w:shd w:val="clear" w:color="auto" w:fill="FFFFFF"/>
        </w:rPr>
        <w:t>资金结余率（低效无效率）</w:t>
      </w:r>
    </w:p>
    <w:p>
      <w:pPr>
        <w:autoSpaceDE w:val="0"/>
        <w:adjustRightInd w:val="0"/>
        <w:snapToGrid w:val="0"/>
        <w:spacing w:line="560" w:lineRule="exact"/>
        <w:ind w:firstLine="72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根据2022年度决算报表，项目资金结余0元，共5分，得5分。</w:t>
      </w:r>
    </w:p>
    <w:p>
      <w:pPr>
        <w:autoSpaceDE w:val="0"/>
        <w:adjustRightInd w:val="0"/>
        <w:snapToGrid w:val="0"/>
        <w:spacing w:line="560" w:lineRule="exact"/>
        <w:ind w:firstLine="72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（3）违规记录</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lang w:val="zh-CN"/>
        </w:rPr>
        <w:t>我单位</w:t>
      </w:r>
      <w:r>
        <w:rPr>
          <w:rFonts w:hint="eastAsia" w:ascii="仿宋_GB2312" w:hAnsi="宋体" w:eastAsia="仿宋_GB2312" w:cs="Times New Roman"/>
          <w:w w:val="99"/>
          <w:sz w:val="32"/>
          <w:szCs w:val="32"/>
        </w:rPr>
        <w:t>2022年度部门预算管理合法合规，无违规记录，共2分，得2分。</w:t>
      </w:r>
    </w:p>
    <w:p>
      <w:pPr>
        <w:pStyle w:val="2"/>
        <w:ind w:left="420" w:firstLine="316" w:firstLineChars="10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（4）专项预算项目绩效管理共</w:t>
      </w:r>
      <w:commentRangeStart w:id="0"/>
      <w:r>
        <w:rPr>
          <w:rFonts w:hint="eastAsia" w:ascii="仿宋_GB2312" w:hAnsi="宋体" w:eastAsia="仿宋_GB2312" w:cs="Times New Roman"/>
          <w:w w:val="99"/>
          <w:sz w:val="32"/>
          <w:szCs w:val="32"/>
        </w:rPr>
        <w:t>40</w:t>
      </w:r>
      <w:commentRangeEnd w:id="0"/>
      <w:r>
        <w:rPr>
          <w:rStyle w:val="20"/>
        </w:rPr>
        <w:commentReference w:id="0"/>
      </w:r>
      <w:r>
        <w:rPr>
          <w:rFonts w:hint="eastAsia" w:ascii="仿宋_GB2312" w:hAnsi="宋体" w:eastAsia="仿宋_GB2312" w:cs="Times New Roman"/>
          <w:w w:val="99"/>
          <w:sz w:val="32"/>
          <w:szCs w:val="32"/>
        </w:rPr>
        <w:t>分，得40分.</w:t>
      </w:r>
    </w:p>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（二）绩效结果应用情况。</w:t>
      </w:r>
    </w:p>
    <w:p>
      <w:pPr>
        <w:widowControl/>
        <w:autoSpaceDE w:val="0"/>
        <w:adjustRightInd w:val="0"/>
        <w:snapToGrid w:val="0"/>
        <w:spacing w:line="580" w:lineRule="exact"/>
        <w:ind w:firstLine="640" w:firstLineChars="200"/>
        <w:contextualSpacing/>
        <w:jc w:val="left"/>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1.内部应用-预算挂钩</w:t>
      </w:r>
    </w:p>
    <w:p>
      <w:pPr>
        <w:autoSpaceDE w:val="0"/>
        <w:adjustRightInd w:val="0"/>
        <w:snapToGrid w:val="0"/>
        <w:spacing w:line="560" w:lineRule="exact"/>
        <w:ind w:firstLine="72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我单位已将内设机构和下属单位绩效自评纳入了考核体系，建立了对内设机构和下属单位预算与绩效挂钩机制。共4分，得4分。</w:t>
      </w:r>
    </w:p>
    <w:p>
      <w:pPr>
        <w:autoSpaceDE w:val="0"/>
        <w:adjustRightInd w:val="0"/>
        <w:snapToGrid w:val="0"/>
        <w:spacing w:line="560" w:lineRule="exact"/>
        <w:ind w:firstLine="72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2.信息公开-自评公开</w:t>
      </w:r>
    </w:p>
    <w:p>
      <w:pPr>
        <w:autoSpaceDE w:val="0"/>
        <w:adjustRightInd w:val="0"/>
        <w:snapToGrid w:val="0"/>
        <w:spacing w:line="560" w:lineRule="exact"/>
        <w:ind w:firstLine="72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财政部门暂未要求将部门整体绩效自评情况和自行组织的评价情况向社会公开，故2分不适用。</w:t>
      </w:r>
    </w:p>
    <w:p>
      <w:pPr>
        <w:numPr>
          <w:ilvl w:val="0"/>
          <w:numId w:val="3"/>
        </w:numPr>
        <w:autoSpaceDE w:val="0"/>
        <w:adjustRightInd w:val="0"/>
        <w:snapToGrid w:val="0"/>
        <w:spacing w:line="560" w:lineRule="exact"/>
        <w:ind w:left="0" w:leftChars="0"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整改反馈</w:t>
      </w:r>
    </w:p>
    <w:p>
      <w:pPr>
        <w:numPr>
          <w:ilvl w:val="0"/>
          <w:numId w:val="0"/>
        </w:numPr>
        <w:autoSpaceDE w:val="0"/>
        <w:adjustRightInd w:val="0"/>
        <w:snapToGrid w:val="0"/>
        <w:spacing w:line="560" w:lineRule="exact"/>
        <w:ind w:left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（1）问题整改</w:t>
      </w:r>
    </w:p>
    <w:p>
      <w:pPr>
        <w:autoSpaceDE w:val="0"/>
        <w:adjustRightInd w:val="0"/>
        <w:snapToGrid w:val="0"/>
        <w:spacing w:line="560" w:lineRule="exact"/>
        <w:ind w:firstLine="632" w:firstLineChars="20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对绩效管理过程中（包括绩效目标核查、绩效监控核查和重点绩效评价）未提出的问题。共2分，得2分。</w:t>
      </w:r>
    </w:p>
    <w:p>
      <w:pPr>
        <w:pStyle w:val="15"/>
        <w:spacing w:line="580" w:lineRule="exact"/>
        <w:ind w:left="0" w:leftChars="0"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（2）应用反馈</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将内部应用、自评公开、问题整改和应用反馈等情况及时向财政部门反馈。共2分，得2分。</w:t>
      </w:r>
    </w:p>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（三）自评质量。</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我单位</w:t>
      </w:r>
      <w:r>
        <w:rPr>
          <w:rFonts w:hint="eastAsia" w:ascii="仿宋_GB2312" w:hAnsi="宋体" w:eastAsia="仿宋_GB2312" w:cs="Times New Roman"/>
          <w:w w:val="99"/>
          <w:sz w:val="32"/>
          <w:szCs w:val="32"/>
          <w:lang w:eastAsia="zh-CN"/>
        </w:rPr>
        <w:t>部门</w:t>
      </w:r>
      <w:r>
        <w:rPr>
          <w:rFonts w:hint="eastAsia" w:ascii="仿宋_GB2312" w:hAnsi="宋体" w:eastAsia="仿宋_GB2312" w:cs="Times New Roman"/>
          <w:w w:val="99"/>
          <w:sz w:val="32"/>
          <w:szCs w:val="32"/>
        </w:rPr>
        <w:t>整体支出自评准确率为</w:t>
      </w:r>
      <w:commentRangeStart w:id="1"/>
      <w:r>
        <w:rPr>
          <w:rFonts w:hint="eastAsia" w:ascii="仿宋_GB2312" w:hAnsi="宋体" w:eastAsia="仿宋_GB2312" w:cs="Times New Roman"/>
          <w:w w:val="99"/>
          <w:sz w:val="32"/>
          <w:szCs w:val="32"/>
        </w:rPr>
        <w:t>2</w:t>
      </w:r>
      <w:commentRangeEnd w:id="1"/>
      <w:r>
        <w:rPr>
          <w:rStyle w:val="20"/>
        </w:rPr>
        <w:commentReference w:id="1"/>
      </w:r>
      <w:r>
        <w:rPr>
          <w:rFonts w:hint="eastAsia" w:ascii="仿宋_GB2312" w:hAnsi="宋体" w:eastAsia="仿宋_GB2312" w:cs="Times New Roman"/>
          <w:w w:val="99"/>
          <w:sz w:val="32"/>
          <w:szCs w:val="32"/>
        </w:rPr>
        <w:t>%，共10分，得10分。</w:t>
      </w:r>
    </w:p>
    <w:p>
      <w:pPr>
        <w:widowControl/>
        <w:autoSpaceDE w:val="0"/>
        <w:adjustRightInd w:val="0"/>
        <w:snapToGrid w:val="0"/>
        <w:spacing w:line="580" w:lineRule="exact"/>
        <w:ind w:firstLine="640" w:firstLineChars="200"/>
        <w:contextualSpacing/>
        <w:jc w:val="left"/>
        <w:rPr>
          <w:rFonts w:ascii="黑体" w:hAnsi="黑体" w:eastAsia="黑体" w:cs="Times New Roman"/>
          <w:kern w:val="0"/>
          <w:sz w:val="32"/>
          <w:szCs w:val="32"/>
          <w:shd w:val="clear" w:color="auto" w:fill="FFFFFF"/>
        </w:rPr>
      </w:pPr>
      <w:r>
        <w:rPr>
          <w:rFonts w:hint="eastAsia" w:ascii="黑体" w:hAnsi="黑体" w:eastAsia="黑体" w:cs="Times New Roman"/>
          <w:kern w:val="0"/>
          <w:sz w:val="32"/>
          <w:szCs w:val="32"/>
          <w:shd w:val="clear" w:color="auto" w:fill="FFFFFF"/>
        </w:rPr>
        <w:t>四、自评结论及建议</w:t>
      </w:r>
    </w:p>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（一）自评结论。</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总体上看，</w:t>
      </w:r>
      <w:r>
        <w:rPr>
          <w:rFonts w:hint="eastAsia" w:ascii="仿宋_GB2312" w:hAnsi="宋体" w:eastAsia="仿宋_GB2312" w:cs="Times New Roman"/>
          <w:w w:val="99"/>
          <w:sz w:val="32"/>
          <w:szCs w:val="32"/>
          <w:lang w:val="zh-CN"/>
        </w:rPr>
        <w:t>我单位</w:t>
      </w:r>
      <w:r>
        <w:rPr>
          <w:rFonts w:hint="eastAsia" w:ascii="仿宋_GB2312" w:hAnsi="宋体" w:eastAsia="仿宋_GB2312" w:cs="Times New Roman"/>
          <w:w w:val="99"/>
          <w:sz w:val="32"/>
          <w:szCs w:val="32"/>
        </w:rPr>
        <w:t>2022年部门支出较规范、合理，符合财政预算资金的相关制度和办法。部门制度建立健全且执行情况良好，较好的履行了部门基本职能，完成了年度重点任务工作。经评定绩效自评总得分为：98</w:t>
      </w:r>
      <w:commentRangeStart w:id="2"/>
      <w:r>
        <w:rPr>
          <w:rFonts w:hint="eastAsia" w:ascii="仿宋_GB2312" w:hAnsi="宋体" w:eastAsia="仿宋_GB2312" w:cs="Times New Roman"/>
          <w:w w:val="99"/>
          <w:sz w:val="32"/>
          <w:szCs w:val="32"/>
        </w:rPr>
        <w:t>分</w:t>
      </w:r>
      <w:commentRangeEnd w:id="2"/>
      <w:r>
        <w:rPr>
          <w:rStyle w:val="20"/>
        </w:rPr>
        <w:commentReference w:id="2"/>
      </w:r>
      <w:r>
        <w:rPr>
          <w:rFonts w:hint="eastAsia" w:ascii="仿宋_GB2312" w:hAnsi="宋体" w:eastAsia="仿宋_GB2312" w:cs="Times New Roman"/>
          <w:w w:val="99"/>
          <w:sz w:val="32"/>
          <w:szCs w:val="32"/>
        </w:rPr>
        <w:t>。</w:t>
      </w:r>
    </w:p>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（二）存在问题。</w:t>
      </w:r>
    </w:p>
    <w:p>
      <w:pPr>
        <w:widowControl/>
        <w:autoSpaceDE w:val="0"/>
        <w:adjustRightInd w:val="0"/>
        <w:snapToGrid w:val="0"/>
        <w:spacing w:line="580" w:lineRule="exact"/>
        <w:ind w:firstLine="632" w:firstLineChars="200"/>
        <w:contextualSpacing/>
        <w:jc w:val="left"/>
        <w:rPr>
          <w:rFonts w:eastAsia="仿宋"/>
          <w:sz w:val="32"/>
        </w:rPr>
      </w:pPr>
      <w:r>
        <w:rPr>
          <w:rFonts w:hint="eastAsia" w:ascii="仿宋_GB2312" w:hAnsi="宋体" w:eastAsia="仿宋_GB2312" w:cs="Times New Roman"/>
          <w:w w:val="99"/>
          <w:sz w:val="32"/>
          <w:szCs w:val="32"/>
        </w:rPr>
        <w:t>财务人员和项目负责人对</w:t>
      </w:r>
      <w:commentRangeStart w:id="3"/>
      <w:r>
        <w:rPr>
          <w:rFonts w:hint="eastAsia" w:ascii="仿宋_GB2312" w:hAnsi="宋体" w:eastAsia="仿宋_GB2312" w:cs="Times New Roman"/>
          <w:w w:val="99"/>
          <w:sz w:val="32"/>
          <w:szCs w:val="32"/>
        </w:rPr>
        <w:t>预算</w:t>
      </w:r>
      <w:commentRangeEnd w:id="3"/>
      <w:r>
        <w:rPr>
          <w:rStyle w:val="20"/>
        </w:rPr>
        <w:commentReference w:id="3"/>
      </w:r>
      <w:r>
        <w:rPr>
          <w:rFonts w:hint="eastAsia" w:ascii="仿宋_GB2312" w:hAnsi="宋体" w:eastAsia="仿宋_GB2312" w:cs="Times New Roman"/>
          <w:w w:val="99"/>
          <w:sz w:val="32"/>
          <w:szCs w:val="32"/>
        </w:rPr>
        <w:t>绩效管理认识不够深，学习不到位。</w:t>
      </w:r>
    </w:p>
    <w:p>
      <w:pPr>
        <w:widowControl/>
        <w:autoSpaceDE w:val="0"/>
        <w:adjustRightInd w:val="0"/>
        <w:snapToGrid w:val="0"/>
        <w:spacing w:line="580" w:lineRule="exact"/>
        <w:ind w:firstLine="640" w:firstLineChars="200"/>
        <w:contextualSpacing/>
        <w:jc w:val="left"/>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（三）改进建议。</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加强对财务人员和项目负责人的培训，提高财务人员和项目负责人对预算绩效管理</w:t>
      </w:r>
      <w:commentRangeStart w:id="4"/>
      <w:r>
        <w:rPr>
          <w:rFonts w:hint="eastAsia" w:ascii="仿宋_GB2312" w:hAnsi="宋体" w:eastAsia="仿宋_GB2312" w:cs="Times New Roman"/>
          <w:w w:val="99"/>
          <w:sz w:val="32"/>
          <w:szCs w:val="32"/>
        </w:rPr>
        <w:t>的</w:t>
      </w:r>
      <w:commentRangeEnd w:id="4"/>
      <w:r>
        <w:rPr>
          <w:rStyle w:val="20"/>
        </w:rPr>
        <w:commentReference w:id="4"/>
      </w:r>
      <w:r>
        <w:rPr>
          <w:rFonts w:hint="eastAsia" w:ascii="仿宋_GB2312" w:hAnsi="宋体" w:eastAsia="仿宋_GB2312" w:cs="Times New Roman"/>
          <w:w w:val="99"/>
          <w:sz w:val="32"/>
          <w:szCs w:val="32"/>
        </w:rPr>
        <w:t>认识。</w:t>
      </w:r>
    </w:p>
    <w:p>
      <w:pPr>
        <w:autoSpaceDE w:val="0"/>
        <w:adjustRightInd w:val="0"/>
        <w:snapToGrid w:val="0"/>
        <w:spacing w:line="560" w:lineRule="exact"/>
        <w:rPr>
          <w:rFonts w:hint="eastAsia" w:ascii="仿宋_GB2312" w:hAnsi="宋体" w:eastAsia="仿宋_GB2312" w:cs="Times New Roman"/>
          <w:w w:val="99"/>
          <w:sz w:val="32"/>
          <w:szCs w:val="32"/>
          <w:lang w:eastAsia="zh-CN"/>
        </w:rPr>
      </w:pPr>
    </w:p>
    <w:p>
      <w:pPr>
        <w:autoSpaceDE w:val="0"/>
        <w:adjustRightInd w:val="0"/>
        <w:snapToGrid w:val="0"/>
        <w:spacing w:line="560" w:lineRule="exact"/>
        <w:ind w:firstLine="720"/>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附表：部门预算项目支出绩效自评表（</w:t>
      </w: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w:t>
      </w:r>
    </w:p>
    <w:p>
      <w:pPr>
        <w:pStyle w:val="2"/>
        <w:rPr>
          <w:rFonts w:hint="eastAsia" w:ascii="仿宋_GB2312" w:hAnsi="宋体" w:eastAsia="仿宋_GB2312" w:cs="Times New Roman"/>
          <w:w w:val="99"/>
          <w:sz w:val="32"/>
          <w:szCs w:val="32"/>
          <w:lang w:eastAsia="zh-CN"/>
        </w:rPr>
      </w:pPr>
    </w:p>
    <w:p>
      <w:pPr>
        <w:rPr>
          <w:rFonts w:hint="eastAsia" w:ascii="仿宋_GB2312" w:hAnsi="宋体" w:eastAsia="仿宋_GB2312" w:cs="Times New Roman"/>
          <w:w w:val="99"/>
          <w:sz w:val="32"/>
          <w:szCs w:val="32"/>
          <w:lang w:eastAsia="zh-CN"/>
        </w:rPr>
      </w:pPr>
    </w:p>
    <w:p>
      <w:pPr>
        <w:pStyle w:val="2"/>
        <w:rPr>
          <w:rFonts w:hint="eastAsia" w:ascii="仿宋_GB2312" w:hAnsi="宋体" w:eastAsia="仿宋_GB2312" w:cs="Times New Roman"/>
          <w:w w:val="99"/>
          <w:sz w:val="32"/>
          <w:szCs w:val="32"/>
          <w:lang w:eastAsia="zh-CN"/>
        </w:rPr>
      </w:pPr>
    </w:p>
    <w:p>
      <w:pPr>
        <w:rPr>
          <w:rFonts w:hint="eastAsia"/>
          <w:lang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8"/>
        <w:gridCol w:w="699"/>
        <w:gridCol w:w="728"/>
        <w:gridCol w:w="1318"/>
        <w:gridCol w:w="433"/>
        <w:gridCol w:w="1196"/>
        <w:gridCol w:w="435"/>
        <w:gridCol w:w="927"/>
        <w:gridCol w:w="629"/>
        <w:gridCol w:w="728"/>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该项目为人员类项目，主要保障部门两名定补聘用人员工资及保险缴纳。2022年，该预算项目资金按月支付，及时足额发放，预算执行率100%，年末无资金结余情况。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该项目为人员类项目，主要保障部门内年度退休的一名同志，为其发放一次性补贴。2022年，该预算项目资金及时足额发放，预算执行率100%，年末无资金结余情况。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该项目为人员类项目，主要保障部门内在职人员中有独生子女情况的两名同志，为其发放独子费。2022年，该预算项目资金按月支付，及时足额发放，预算执行率100%，年末无资金结余情况。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该项目为人员类项目，主要保障部门3名公务员目标绩效奖。2022年，该预算项目资金按月支付，及时足额发放，预算执行率100%，年末无资金结余情况。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12.18</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12.18</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该项目为人员类项目，主要保障部门5名公务员3名机关工勤人员2022年度车补。2022年，该预算项目资金按季度支付，及时足额发放，预算执行率100%，年末无资金结余情况。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5.46</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5.46</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该项目为人员类项目，主要保障部门5名公务员3名机关工勤人员2022年度工资，包括基本工资、津贴补贴等。2022年，该预算项目资金按月支付，及时足额发放，预算执行率100%，年末无资金结余情况。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49.97</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51.52</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51.52</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49.97</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51.52</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51.52</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该项目为人员类项目，主要保障部门2名事业人员2022年度工资，包括基本工资、津贴补贴、绩效工资等。2022年，该预算项目资金按月支付，及时足额发放，预算执行率100%，年末无资金结余情况。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11.26</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16.92</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16.92</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11.26</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16.92</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16.92</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该项目为人员类项目，主要保障部门5名公务员3名机关工勤人员2022年度养老保险缴费等。2022年，该预算项目资金按月支付，及时足额缴纳，预算执行率100%，年末无资金结余情况。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8.81</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8.81</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8.81</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8.81</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该项目为人员类项目，主要保障部门2名事业人员2022年度养老保险缴费等。2022年，该预算项目资金按月支付，及时足额缴纳，预算执行率100%，年末无资金结余情况。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1.78</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1.78</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该项目为人员类项目，主要保障部门5名公务员3名机关工勤人员2022年度医疗保险缴费等。2022年，该预算项目资金按月支付，及时足额缴纳，预算执行率100%，年末无资金结余情况。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3.79</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3.79</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该项目为人员类项目，主要保障部门2名事业人员2022年度医疗保险缴费等。2022年，该预算项目资金按月支付，及时足额缴纳，预算执行率100%，年末无资金结余情况。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0.89</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1.04</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1.04</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0.89</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1.04</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1.04</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该项目为人员类项目，主要保障部门5名公务员3名机关工勤人员2022年度住房公积金缴费等。2022年，该预算项目资金按月支付，及时足额缴纳，预算执行率100%，年末无资金结余情况。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5.69</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5.69</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该项目为人员类项目，主要保障部门2名事业人员2022年度住房公积金缴费等。2022年，该预算项目资金按月支付，及时足额缴纳，预算执行率100%，年末无资金结余情况。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该项目为人员类项目，主要保障部门5名公务员3名工勤人员2名事业人员2022年度职业年金缴费等。2022年，该预算项目资金按月支付，及时足额缴纳，预算执行率100%，年末无资金结余情况。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4.36</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4.36</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4.36</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4.36</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该项目为人员类项目，主要保障部门2名事业人员目标绩效奖。2022年，该预算项目资金按月支付，及时足额发放，预算执行率100%，年末无资金结余情况。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该项目为人员类项目，主要保障部门3名机关工勤人员目标绩效奖。2022年，该预算项目资金按月支付，及时足额发放，预算执行率100%，年末无资金结余情况。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15.87</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15.87</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15.87</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15.87</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15.87</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15.87</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51081222T000005549608-残疾人事业发展上级补助资金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99.78</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99.78</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对个人的补助</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997800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元/年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997800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51081222T000005725104-2022年残疾人事业发展资金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对个人的补助</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元/年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51081222T000005725157-托养中心项目建设资金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提高预算编制质量，严格执行预算，保障项目规范运转。</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该项目为特定目标类项目，主要保障部门托养中心项目建设正常实施。2022年，该预算项目资金年内序时支付，预算执行率100%，年末无资金结余情况。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对个人的补助</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元/年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51081222T000005926067-“智慧量服”手持终端服务费用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165名村残协专干提供手持终端服务费服务，包括：139名村（社区）专干，12名乡镇残联理事长，14名部门残疾人管理工作者。该项目的实施推进了残疾人种政策直嵌入式的进村入户，促进本系统更加直观的了解残疾人的需求，便于残疾人精准施策。</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年为166名残疾人工作者提供手持终端服务费服务，其中：139名村（社区）专干，12名乡镇残联理事长，15名机关干部职工，该项目的实施推进了残疾人种政策进村入户，同时促进本系统更加直观的了解残疾人的需求，根据残疾人的需求精准施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“智慧量服”手持终端服务人数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166</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“智慧量服”手持终端服务统计合格率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98</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项目实施时间</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“智慧量服”手持终端服务成本控制</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“智慧量服”手持终端服务残疾人覆盖率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96</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“智慧量服”手持终端服务残疾人覆盖率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“智慧量服”手持终端服务对象满意度</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51081222T000005926136-残疾人事业发展县级补助资金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残疾人事业发展受益人数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30000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残疾人事业发展服务合格率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项目实施时间</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残疾人事业发展补助资金因人施策</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改善残疾人生产生活和生存状况，残疾人回归、融入社会的覆盖率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残疾人事业发展对象受益率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残疾人事业发展服务对象满意度</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51081222T000006698108-残疾人居家灵活就业直补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为300名残疾人发放残疾人灵活就业补贴</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该项目为特定目标类项目，主要保障部门管理的残疾人就业补助发放。2022年，该预算项目资金年内序时支付，预算执行率100%，年末无资金结余情况。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对个人的补助</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300000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51081222T000006729167-2022年度残疾人事业发展县级补助资金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资金统筹用于≥3000名听力、言语、视力、肢体、智力、精神、多重类别的残疾人提供康复、教育、就业、扶贫、社会保障、托养、宣传、文化、体育、无障碍改造以及其他残疾人服务，该项目的实施保障了残疾人事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11.62</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11.62</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11.62</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11.62</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对个人的补助</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元/年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300000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51081222T000007125974-2022年度东西部协作项目资金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预计全年使用东西部协作资金为200名残疾人开展职业技能培训，通过培训增加残疾人就业增长率。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为200名残疾人开展职业技能培训，通过培训增加残疾人就业增长率。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东西部协作资金救助人数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人</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东西部协作资金项目实施达标率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项目完成时效</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42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东西部协作资金成本控制</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万元</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东西部协作资金促进残疾人掌握技术，拓宽残疾人就业渠道</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80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覆盖有需求残疾人受益率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85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东西部协作资金对象满意度</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51081223T000008648396-2022年残疾人代表大会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77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广元市朝天区残疾人联合会部门</w:t>
            </w:r>
          </w:p>
        </w:tc>
        <w:tc>
          <w:tcPr>
            <w:tcW w:w="54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6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预计举办残疾人代表大会一场，预计参会人数67人，会期一天半，选举新一届主席团成员、新一届理事会、五大专门协会，研究残疾人事业发展政策等。</w:t>
            </w:r>
          </w:p>
        </w:tc>
        <w:tc>
          <w:tcPr>
            <w:tcW w:w="180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220"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举办残疾人代表大会一场，参会人数67人，会期一天半，选举了新一届主席团成员、新一届理事会、五大专门协会，研究了残疾人事业发展政策等。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1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69"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召开残疾人代表大会场次</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场次</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会议天数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1.5天</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天</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参会人数</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67人</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会议举办成功率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会议召开及时率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活动经费</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6万元</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全区残疾人事业发展工作</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02" w:type="pct"/>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有所提升</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有所提升</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7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参会人员满意度</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3"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项目实施达到了预期的经济效益、社会效益，绩效目标完全实现，为我会在下一年工作推进和预算安排上提供了对比数据。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30"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3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项目负责人：马桂花</w:t>
            </w:r>
          </w:p>
        </w:tc>
        <w:tc>
          <w:tcPr>
            <w:tcW w:w="276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财务负责人：何东生</w:t>
            </w:r>
          </w:p>
        </w:tc>
      </w:tr>
    </w:tbl>
    <w:p>
      <w:pPr>
        <w:autoSpaceDE w:val="0"/>
        <w:spacing w:line="240" w:lineRule="auto"/>
        <w:rPr>
          <w:rFonts w:hint="eastAsia" w:ascii="黑体" w:hAnsi="黑体" w:eastAsia="黑体" w:cs="Times New Roman"/>
          <w:sz w:val="30"/>
          <w:szCs w:val="30"/>
        </w:rPr>
      </w:pPr>
    </w:p>
    <w:p>
      <w:pPr>
        <w:autoSpaceDE w:val="0"/>
        <w:spacing w:line="240" w:lineRule="auto"/>
        <w:rPr>
          <w:rFonts w:hint="eastAsia" w:ascii="黑体" w:hAnsi="黑体" w:eastAsia="黑体" w:cs="Times New Roman"/>
          <w:sz w:val="30"/>
          <w:szCs w:val="30"/>
        </w:rPr>
      </w:pPr>
    </w:p>
    <w:p>
      <w:pPr>
        <w:autoSpaceDE w:val="0"/>
        <w:spacing w:line="240" w:lineRule="auto"/>
        <w:rPr>
          <w:rFonts w:hint="eastAsia" w:ascii="黑体" w:hAnsi="黑体" w:eastAsia="黑体" w:cs="Times New Roman"/>
          <w:sz w:val="30"/>
          <w:szCs w:val="30"/>
        </w:rPr>
      </w:pPr>
    </w:p>
    <w:p>
      <w:pPr>
        <w:autoSpaceDE w:val="0"/>
        <w:spacing w:line="240" w:lineRule="auto"/>
        <w:rPr>
          <w:rFonts w:hint="eastAsia" w:ascii="黑体" w:hAnsi="黑体" w:eastAsia="黑体" w:cs="Times New Roman"/>
          <w:sz w:val="30"/>
          <w:szCs w:val="30"/>
        </w:rPr>
      </w:pPr>
    </w:p>
    <w:p>
      <w:pPr>
        <w:autoSpaceDE w:val="0"/>
        <w:spacing w:line="240" w:lineRule="auto"/>
        <w:rPr>
          <w:rFonts w:hint="eastAsia" w:ascii="黑体" w:hAnsi="黑体" w:eastAsia="黑体" w:cs="Times New Roman"/>
          <w:sz w:val="30"/>
          <w:szCs w:val="30"/>
        </w:rPr>
      </w:pPr>
    </w:p>
    <w:p>
      <w:pPr>
        <w:autoSpaceDE w:val="0"/>
        <w:spacing w:line="240" w:lineRule="auto"/>
        <w:rPr>
          <w:rFonts w:ascii="黑体" w:hAnsi="黑体" w:eastAsia="黑体" w:cs="Times New Roman"/>
          <w:sz w:val="30"/>
          <w:szCs w:val="30"/>
        </w:rPr>
      </w:pPr>
      <w:r>
        <w:rPr>
          <w:rFonts w:hint="eastAsia" w:ascii="黑体" w:hAnsi="黑体" w:eastAsia="黑体" w:cs="Times New Roman"/>
          <w:sz w:val="30"/>
          <w:szCs w:val="30"/>
        </w:rPr>
        <w:t>附件2</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残疾人事业发展补助资金项目支出绩效自评报告</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76" w:lineRule="exact"/>
        <w:ind w:firstLine="619" w:firstLineChars="20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（一）项目资金申报及批复情况。</w:t>
      </w:r>
      <w:r>
        <w:rPr>
          <w:rFonts w:hint="eastAsia" w:ascii="仿宋_GB2312" w:hAnsi="宋体" w:eastAsia="仿宋_GB2312" w:cs="Times New Roman"/>
          <w:w w:val="99"/>
          <w:sz w:val="32"/>
          <w:szCs w:val="32"/>
        </w:rPr>
        <w:t>2022年残疾人事业发展项目下达资金326.05万元，其中上级补助资金210.54万元，本级资金115.51万元。围绕残疾人康复、残疾人教育就业、残疾人文化、残疾人宣传、残疾人维权、残疾人基层组织建设等方向开展工作。</w:t>
      </w:r>
    </w:p>
    <w:p>
      <w:pPr>
        <w:autoSpaceDE w:val="0"/>
        <w:adjustRightInd w:val="0"/>
        <w:snapToGrid w:val="0"/>
        <w:spacing w:line="540" w:lineRule="exact"/>
        <w:ind w:firstLine="720"/>
        <w:rPr>
          <w:rFonts w:ascii="仿宋_GB2312" w:hAnsi="宋体" w:eastAsia="仿宋_GB2312" w:cs="仿宋_GB2312"/>
          <w:color w:val="000000"/>
          <w:kern w:val="0"/>
          <w:sz w:val="31"/>
          <w:szCs w:val="31"/>
        </w:rPr>
      </w:pPr>
      <w:r>
        <w:rPr>
          <w:rFonts w:hint="eastAsia" w:ascii="楷体_GB2312" w:hAnsi="宋体" w:eastAsia="楷体_GB2312" w:cs="Times New Roman"/>
          <w:b/>
          <w:w w:val="99"/>
          <w:sz w:val="32"/>
          <w:szCs w:val="32"/>
        </w:rPr>
        <w:t>（二）项目绩效目标。</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项目的实施推进了多层次的残疾人社会保障制度基本建立，基本形成残疾人就业创业支持体系，促进残疾人基本公共服务体系更加完备。</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该项目申报和项目实施相符，主要用于残疾人康复、残疾人教育就业、残疾人文化、残疾人宣传等6方面支出。</w:t>
      </w:r>
    </w:p>
    <w:p>
      <w:pPr>
        <w:autoSpaceDE w:val="0"/>
        <w:adjustRightInd w:val="0"/>
        <w:snapToGrid w:val="0"/>
        <w:spacing w:line="540" w:lineRule="exact"/>
        <w:ind w:firstLine="720"/>
        <w:rPr>
          <w:rFonts w:eastAsia="楷体_GB2312"/>
        </w:rPr>
      </w:pPr>
      <w:r>
        <w:rPr>
          <w:rFonts w:hint="eastAsia" w:ascii="楷体_GB2312" w:hAnsi="宋体" w:eastAsia="楷体_GB2312" w:cs="Times New Roman"/>
          <w:b/>
          <w:w w:val="99"/>
          <w:sz w:val="32"/>
          <w:szCs w:val="32"/>
        </w:rPr>
        <w:t>（三）项目自评步骤及方法。</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1、了解、收集财政支出项目的相关资料、政策，参照部门财政支出项目评价体系。</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2、召开干部职工大会，各业务股室负责人根据项目实施情况和评价指标体系要求，填评分表和数据统计。</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3、召开党组会议，研究、讨论、决议所报送内容的合法合规合理性，根据党组会议研究结果向区财政局报送资料。</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p>
    <w:p>
      <w:pPr>
        <w:autoSpaceDE w:val="0"/>
        <w:adjustRightInd w:val="0"/>
        <w:snapToGrid w:val="0"/>
        <w:spacing w:line="560" w:lineRule="exact"/>
        <w:ind w:firstLine="720"/>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下达的该笔资金326.05万元已全部到位，该笔资金326.05万元已全部执行。详情如下图：</w:t>
      </w:r>
    </w:p>
    <w:p>
      <w:pPr>
        <w:pStyle w:val="2"/>
        <w:rPr>
          <w:rFonts w:hint="eastAsia"/>
          <w:lang w:eastAsia="zh-CN"/>
        </w:rPr>
      </w:pPr>
    </w:p>
    <w:tbl>
      <w:tblPr>
        <w:tblStyle w:val="16"/>
        <w:tblW w:w="8703" w:type="dxa"/>
        <w:tblInd w:w="93" w:type="dxa"/>
        <w:tblLayout w:type="fixed"/>
        <w:tblCellMar>
          <w:top w:w="0" w:type="dxa"/>
          <w:left w:w="108" w:type="dxa"/>
          <w:bottom w:w="0" w:type="dxa"/>
          <w:right w:w="108" w:type="dxa"/>
        </w:tblCellMar>
      </w:tblPr>
      <w:tblGrid>
        <w:gridCol w:w="3636"/>
        <w:gridCol w:w="1466"/>
        <w:gridCol w:w="1061"/>
        <w:gridCol w:w="1060"/>
        <w:gridCol w:w="1480"/>
      </w:tblGrid>
      <w:tr>
        <w:tblPrEx>
          <w:tblCellMar>
            <w:top w:w="0" w:type="dxa"/>
            <w:left w:w="108" w:type="dxa"/>
            <w:bottom w:w="0" w:type="dxa"/>
            <w:right w:w="108" w:type="dxa"/>
          </w:tblCellMar>
        </w:tblPrEx>
        <w:trPr>
          <w:trHeight w:val="270" w:hRule="atLeast"/>
        </w:trPr>
        <w:tc>
          <w:tcPr>
            <w:tcW w:w="3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上级补助资金</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本级资金</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   计</w:t>
            </w:r>
          </w:p>
        </w:tc>
      </w:tr>
      <w:tr>
        <w:tblPrEx>
          <w:tblCellMar>
            <w:top w:w="0" w:type="dxa"/>
            <w:left w:w="108" w:type="dxa"/>
            <w:bottom w:w="0" w:type="dxa"/>
            <w:right w:w="108" w:type="dxa"/>
          </w:tblCellMar>
        </w:tblPrEx>
        <w:trPr>
          <w:trHeight w:val="420" w:hRule="atLeast"/>
        </w:trPr>
        <w:tc>
          <w:tcPr>
            <w:tcW w:w="3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80" w:firstLineChars="1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 金</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7岁以上残疾人基本康复控制成本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2.69</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2.69</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7岁以上残疾人基本辅具配置控制成本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8.16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8.16</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0-6岁残疾儿童康复救助控制成本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2.25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农村困难残疾人实用技术培训控制成本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23.03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23.03</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残疾人托养服务控制成本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10.35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10.35</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残疾人C5驾照</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0.15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0.15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0.3</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困难重度残疾人家庭无障碍改造控制成本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7.53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8.53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21.06</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“体育复健进校园”项目启动资金控制成本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28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“体育复健进校园”赛事补助控制成本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残疾人健身示范点建设项目补贴控制成本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托养中心项目建设项目</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30</w:t>
            </w:r>
          </w:p>
        </w:tc>
      </w:tr>
      <w:tr>
        <w:tblPrEx>
          <w:tblCellMar>
            <w:top w:w="0" w:type="dxa"/>
            <w:left w:w="108" w:type="dxa"/>
            <w:bottom w:w="0" w:type="dxa"/>
            <w:right w:w="108" w:type="dxa"/>
          </w:tblCellMar>
        </w:tblPrEx>
        <w:trPr>
          <w:trHeight w:val="27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其他残疾人事业发展项目资金控制成本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96.85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0.7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80.36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177.91</w:t>
            </w:r>
          </w:p>
        </w:tc>
      </w:tr>
      <w:tr>
        <w:tblPrEx>
          <w:tblCellMar>
            <w:top w:w="0" w:type="dxa"/>
            <w:left w:w="108" w:type="dxa"/>
            <w:bottom w:w="0" w:type="dxa"/>
            <w:right w:w="108" w:type="dxa"/>
          </w:tblCellMar>
        </w:tblPrEx>
        <w:trPr>
          <w:trHeight w:val="24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文化进家庭“五个一”控制成本</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0.3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0.3</w:t>
            </w:r>
          </w:p>
        </w:tc>
      </w:tr>
      <w:tr>
        <w:tblPrEx>
          <w:tblCellMar>
            <w:top w:w="0" w:type="dxa"/>
            <w:left w:w="108" w:type="dxa"/>
            <w:bottom w:w="0" w:type="dxa"/>
            <w:right w:w="108" w:type="dxa"/>
          </w:tblCellMar>
        </w:tblPrEx>
        <w:trPr>
          <w:trHeight w:val="24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160" w:firstLineChars="1200"/>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合  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151.01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59.53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115.51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326.05</w:t>
            </w:r>
          </w:p>
        </w:tc>
      </w:tr>
    </w:tbl>
    <w:p>
      <w:pPr>
        <w:autoSpaceDE w:val="0"/>
        <w:spacing w:line="540" w:lineRule="exact"/>
        <w:rPr>
          <w:rFonts w:ascii="仿宋_GB2312" w:hAnsi="Times New Roman" w:eastAsia="仿宋_GB2312" w:cs="Times New Roman"/>
          <w:spacing w:val="-6"/>
          <w:sz w:val="32"/>
          <w:szCs w:val="32"/>
        </w:rPr>
      </w:pPr>
    </w:p>
    <w:p>
      <w:pPr>
        <w:autoSpaceDE w:val="0"/>
        <w:spacing w:line="540" w:lineRule="exact"/>
        <w:ind w:firstLine="619"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单位项目支出严格执行国家有关法律、法规和财务规章制度的有关管理规定，健全完善本单位资金使用相关规定。合理编制单位预算，统筹安排，厉行节约，量入为出，保证重点，兼顾一般，注重资金使用效益，保障行政单位正常运转的资金需要。年末真实准确完整地编制决算报表，认真进行决算分析，反映本期收入、支出及资产变动的情况，分析预算执行、支出结构、量化评价情况等，并按照规定报送区级财政部门。待财政部门批复部门决算后，及时在相关网站公开。</w:t>
      </w:r>
    </w:p>
    <w:p>
      <w:pPr>
        <w:autoSpaceDE w:val="0"/>
        <w:spacing w:line="540" w:lineRule="exact"/>
        <w:ind w:firstLine="619" w:firstLineChars="200"/>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1.项目组织架构及实施流程。</w:t>
      </w:r>
      <w:r>
        <w:rPr>
          <w:rFonts w:hint="eastAsia" w:ascii="仿宋_GB2312" w:hAnsi="宋体" w:eastAsia="仿宋_GB2312" w:cs="Times New Roman"/>
          <w:w w:val="99"/>
          <w:sz w:val="32"/>
          <w:szCs w:val="32"/>
        </w:rPr>
        <w:t xml:space="preserve"> 区残联高度重视该项目的长效管理机制，成立理事长为组长，分管业务副理事长为副组长，各项目负责人为牵头人，其余人员为成员的工作领导小组。由股室负责人跟进项目进展情况，层层汇报项目实施情况，根据项目实际执行情况，按照相关规章制度和项目实施完成情况进行支付，所用支出严格财务管理制度及项目内容使用，做到了专款专用。</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2.项目管理情况。</w:t>
      </w:r>
      <w:r>
        <w:rPr>
          <w:rFonts w:hint="eastAsia" w:ascii="仿宋_GB2312" w:hAnsi="宋体" w:eastAsia="仿宋_GB2312" w:cs="Times New Roman"/>
          <w:w w:val="99"/>
          <w:sz w:val="32"/>
          <w:szCs w:val="32"/>
        </w:rPr>
        <w:t>根据项目预算资金、项目实施进度、项目监督、验收等执行情况各项目负责人建立专门档案。</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3.项目监管情况。</w:t>
      </w:r>
      <w:r>
        <w:rPr>
          <w:rFonts w:hint="eastAsia" w:ascii="仿宋_GB2312" w:hAnsi="宋体" w:eastAsia="仿宋_GB2312" w:cs="Times New Roman"/>
          <w:w w:val="99"/>
          <w:sz w:val="32"/>
          <w:szCs w:val="32"/>
        </w:rPr>
        <w:t>项目资金由财务人员具体管理，业务股室负责人制定管理制度和项目实施方案，单位指派专门人员长期对项目实施定期或不定期进行检查和监督，及时协调解决项目实施过程中的困难和难题，确保项目实施质量。</w:t>
      </w:r>
    </w:p>
    <w:p>
      <w:pPr>
        <w:pStyle w:val="2"/>
        <w:ind w:left="0" w:leftChars="0" w:firstLine="0" w:firstLineChars="0"/>
      </w:pP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2022年度开展残疾人事业发展子项目13个，涉及康复服务2173人，农村困难残疾人实用技术培训400人，残疾人阳光家园计划托养服务96人，发放残疾人C5驾照补贴3人，困难重度残疾人家庭无障碍改造88户，开展“体育复健进校园”项目1个，建立残疾人自强健身示范点建设项目补贴1个，困难智力精神和重度残疾人残疾评定补贴11人，托养中心建设项目1个，残疾人文化进家庭“五个一”100人，其他残疾人事业发展项目1个。</w:t>
      </w:r>
    </w:p>
    <w:p>
      <w:pPr>
        <w:numPr>
          <w:ilvl w:val="0"/>
          <w:numId w:val="9"/>
        </w:num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1.社会效益</w:t>
      </w:r>
      <w:r>
        <w:rPr>
          <w:rFonts w:hint="eastAsia" w:ascii="仿宋_GB2312" w:hAnsi="宋体" w:eastAsia="仿宋_GB2312" w:cs="Times New Roman"/>
          <w:color w:val="auto"/>
          <w:w w:val="99"/>
          <w:sz w:val="32"/>
          <w:szCs w:val="32"/>
        </w:rPr>
        <w:t>。</w:t>
      </w:r>
      <w:r>
        <w:rPr>
          <w:rFonts w:hint="eastAsia" w:ascii="仿宋_GB2312" w:hAnsi="宋体" w:eastAsia="仿宋_GB2312" w:cs="Times New Roman"/>
          <w:w w:val="99"/>
          <w:sz w:val="32"/>
          <w:szCs w:val="32"/>
        </w:rPr>
        <w:t>人人享有基本康复服务率达80％；7岁以上残疾人基本辅具配置辅助残疾人从事生产生活劳动，帮助残疾人改善功能；0-6岁残疾儿童康复实现了救助应救尽救，确保基本民生；农村困难残疾人实用技术培训使残疾人生产得到提升、生活得到改善；阳光家园计划—智力精神和重度肢体残疾人托养服务帮助残疾人改善生活状况、提升社会参与能力，促进残疾人家庭劳动力解放；残疾人C5驾照补贴项目方便肢体残疾人出行，减轻残疾人经济负担；困难重度残疾人家庭无障碍改造项目提高了残疾人居家生活自主程度和生活质量；“体育复健进校园”项目启动资金及“体育复健进校园”赛事补助项目，促进了残疾学生身心健康，提高残疾学生恢复功能和融入社会能力；残疾人自强健身示范点建设项目补贴，丰富了残疾人日常体育文化生活；托养中心项目建设项目社会效益指标改善残疾人状况，减轻残疾人家庭经济负担；其他残疾人事业发展补助资金，促进残疾人事业发展，推动了社会进步，带动残疾人就业，提高残疾人生产生活水。残疾人文化进家庭“五个一”项目推动残疾人文化服务身边化，丰富了残疾人文化生活。</w:t>
      </w:r>
    </w:p>
    <w:p>
      <w:pPr>
        <w:autoSpaceDE w:val="0"/>
        <w:adjustRightInd w:val="0"/>
        <w:snapToGrid w:val="0"/>
        <w:spacing w:line="560" w:lineRule="exact"/>
        <w:ind w:firstLine="720"/>
        <w:rPr>
          <w:rFonts w:ascii="黑体" w:hAnsi="黑体" w:eastAsia="黑体" w:cs="Times New Roman"/>
          <w:spacing w:val="-6"/>
          <w:sz w:val="32"/>
          <w:szCs w:val="32"/>
        </w:rPr>
      </w:pPr>
      <w:r>
        <w:rPr>
          <w:rFonts w:hint="eastAsia" w:ascii="仿宋_GB2312" w:hAnsi="宋体" w:eastAsia="仿宋_GB2312" w:cs="Times New Roman"/>
          <w:w w:val="99"/>
          <w:sz w:val="32"/>
          <w:szCs w:val="32"/>
        </w:rPr>
        <w:t>2.可持续影响效益。7岁以上残疾人基本康复、0-6岁残疾儿童康复救助、农村困难残疾人实用技术培训、残疾人C5驾照补贴、残疾人文化进家庭“五个一”、困难重度残疾人家庭无障碍改造的受益率达85％。残疾人托养社会保障政策落实率达85％，残疾人体育活动参与率达85％，其他残疾人事业发展项目覆盖率达80％，满足了广大残疾人迫切需求。</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spacing w:line="560" w:lineRule="exact"/>
        <w:jc w:val="both"/>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下一步，我单位将继续强化项目资金的使用和管理，确保不挪用、不挤用、不占用，各项目按时完成、资金执行到位，并强化考核结果应用。</w:t>
      </w:r>
    </w:p>
    <w:p>
      <w:pPr>
        <w:autoSpaceDE w:val="0"/>
        <w:spacing w:line="560" w:lineRule="exact"/>
        <w:jc w:val="center"/>
        <w:rPr>
          <w:rFonts w:hint="eastAsia" w:ascii="仿宋_GB2312" w:hAnsi="宋体" w:eastAsia="仿宋_GB2312" w:cs="Times New Roman"/>
          <w:w w:val="99"/>
          <w:sz w:val="32"/>
          <w:szCs w:val="32"/>
        </w:rPr>
      </w:pPr>
    </w:p>
    <w:p>
      <w:pPr>
        <w:autoSpaceDE w:val="0"/>
        <w:spacing w:line="560" w:lineRule="exact"/>
        <w:jc w:val="center"/>
        <w:rPr>
          <w:rFonts w:ascii="方正小标宋简体" w:hAnsi="宋体" w:eastAsia="宋体" w:cs="Times New Roman"/>
          <w:kern w:val="0"/>
          <w:sz w:val="44"/>
          <w:szCs w:val="44"/>
        </w:rPr>
      </w:pPr>
      <w:r>
        <w:rPr>
          <w:rFonts w:hint="eastAsia" w:ascii="方正小标宋简体" w:hAnsi="方正小标宋简体" w:eastAsia="方正小标宋简体" w:cs="方正小标宋简体"/>
          <w:kern w:val="0"/>
          <w:sz w:val="44"/>
          <w:szCs w:val="44"/>
        </w:rPr>
        <w:t>“智慧量服”手持终端服务项目支出绩效自评报告</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76" w:lineRule="exact"/>
        <w:ind w:firstLine="619" w:firstLineChars="20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（一）项目资金申报及批复情况。</w:t>
      </w:r>
      <w:r>
        <w:rPr>
          <w:rFonts w:hint="eastAsia" w:ascii="仿宋_GB2312" w:hAnsi="仿宋_GB2312" w:eastAsia="仿宋_GB2312" w:cs="仿宋_GB2312"/>
          <w:kern w:val="0"/>
          <w:sz w:val="32"/>
          <w:szCs w:val="32"/>
        </w:rPr>
        <w:t>“智慧量服”手持终端服务费</w:t>
      </w:r>
      <w:r>
        <w:rPr>
          <w:rFonts w:hint="eastAsia" w:ascii="仿宋_GB2312" w:hAnsi="Times New Roman" w:eastAsia="仿宋_GB2312" w:cs="Times New Roman"/>
          <w:spacing w:val="-6"/>
          <w:sz w:val="32"/>
          <w:szCs w:val="32"/>
        </w:rPr>
        <w:t>由单位年初预算申报，区人大批准。区本级下达</w:t>
      </w:r>
      <w:r>
        <w:rPr>
          <w:rFonts w:hint="eastAsia" w:ascii="仿宋_GB2312" w:hAnsi="仿宋_GB2312" w:eastAsia="仿宋_GB2312" w:cs="仿宋_GB2312"/>
          <w:kern w:val="0"/>
          <w:sz w:val="32"/>
          <w:szCs w:val="32"/>
        </w:rPr>
        <w:t>资金</w:t>
      </w:r>
      <w:r>
        <w:rPr>
          <w:rFonts w:hint="eastAsia" w:ascii="仿宋_GB2312" w:hAnsi="Times New Roman" w:eastAsia="仿宋_GB2312" w:cs="Times New Roman"/>
          <w:spacing w:val="-6"/>
          <w:sz w:val="32"/>
          <w:szCs w:val="32"/>
        </w:rPr>
        <w:t>20万元。主要</w:t>
      </w:r>
      <w:r>
        <w:rPr>
          <w:rFonts w:hint="eastAsia" w:ascii="仿宋_GB2312" w:hAnsi="仿宋_GB2312" w:eastAsia="仿宋_GB2312" w:cs="仿宋_GB2312"/>
          <w:sz w:val="32"/>
          <w:szCs w:val="32"/>
        </w:rPr>
        <w:t>用于开展残疾人需求调查、落实残疾人政策</w:t>
      </w:r>
      <w:r>
        <w:rPr>
          <w:rFonts w:hint="eastAsia" w:ascii="仿宋_GB2312" w:hAnsi="Times New Roman" w:eastAsia="仿宋_GB2312" w:cs="Times New Roman"/>
          <w:spacing w:val="-6"/>
          <w:sz w:val="32"/>
          <w:szCs w:val="32"/>
        </w:rPr>
        <w:t>等工作。符合资金管理办法等相关规定。</w:t>
      </w:r>
    </w:p>
    <w:p>
      <w:pPr>
        <w:autoSpaceDE w:val="0"/>
        <w:adjustRightInd w:val="0"/>
        <w:snapToGrid w:val="0"/>
        <w:spacing w:line="540" w:lineRule="exact"/>
        <w:ind w:firstLine="720"/>
        <w:rPr>
          <w:rFonts w:ascii="仿宋_GB2312" w:hAnsi="宋体" w:eastAsia="仿宋_GB2312" w:cs="仿宋_GB2312"/>
          <w:kern w:val="0"/>
          <w:sz w:val="31"/>
          <w:szCs w:val="31"/>
        </w:rPr>
      </w:pPr>
      <w:r>
        <w:rPr>
          <w:rFonts w:hint="eastAsia" w:ascii="楷体_GB2312" w:hAnsi="宋体" w:eastAsia="楷体_GB2312" w:cs="Times New Roman"/>
          <w:b/>
          <w:w w:val="99"/>
          <w:sz w:val="32"/>
          <w:szCs w:val="32"/>
        </w:rPr>
        <w:t>（二）项目绩效目标。</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为全区残联系统166名工作人员提供手持终端服务费服务，其中：139名村（社区）残协专委、12名乡镇残联理事长、15名机关干部职工，对全区残疾人开展状况调查、落实残疾人政策服务工作，通过实施该项目达到了“互联网”+服务效果，确保了残疾人政策精准落实。</w:t>
      </w:r>
    </w:p>
    <w:p>
      <w:pPr>
        <w:autoSpaceDE w:val="0"/>
        <w:spacing w:line="540" w:lineRule="exact"/>
        <w:ind w:firstLine="616" w:firstLineChars="200"/>
        <w:rPr>
          <w:rFonts w:ascii="仿宋_GB2312" w:hAnsi="宋体" w:eastAsia="仿宋_GB2312" w:cs="Times New Roman"/>
          <w:w w:val="99"/>
          <w:sz w:val="32"/>
          <w:szCs w:val="32"/>
        </w:rPr>
      </w:pPr>
      <w:r>
        <w:rPr>
          <w:rFonts w:hint="eastAsia" w:ascii="楷体_GB2312" w:hAnsi="Times New Roman" w:eastAsia="楷体_GB2312" w:cs="Times New Roman"/>
          <w:bCs/>
          <w:spacing w:val="-6"/>
          <w:sz w:val="32"/>
          <w:szCs w:val="32"/>
        </w:rPr>
        <w:t>2、项目资金申报相符性。</w:t>
      </w:r>
      <w:r>
        <w:rPr>
          <w:rFonts w:hint="eastAsia" w:ascii="仿宋_GB2312" w:hAnsi="宋体" w:eastAsia="仿宋_GB2312" w:cs="Times New Roman"/>
          <w:w w:val="99"/>
          <w:sz w:val="32"/>
          <w:szCs w:val="32"/>
        </w:rPr>
        <w:t>项目申报和项目实施相符。</w:t>
      </w:r>
    </w:p>
    <w:p>
      <w:pPr>
        <w:autoSpaceDE w:val="0"/>
        <w:adjustRightInd w:val="0"/>
        <w:snapToGrid w:val="0"/>
        <w:spacing w:line="540" w:lineRule="exact"/>
        <w:ind w:firstLine="720"/>
        <w:rPr>
          <w:rFonts w:eastAsia="楷体_GB2312"/>
        </w:rPr>
      </w:pPr>
      <w:r>
        <w:rPr>
          <w:rFonts w:hint="eastAsia" w:ascii="楷体_GB2312" w:hAnsi="宋体" w:eastAsia="楷体_GB2312" w:cs="Times New Roman"/>
          <w:b/>
          <w:w w:val="99"/>
          <w:sz w:val="32"/>
          <w:szCs w:val="32"/>
        </w:rPr>
        <w:t>（三）项目自评步骤及方法。</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1、了解、收集财政支出项目的相关资料、政策，参照部门财政支出项目评价体系。</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2、召开干部职工大会，各业务股室负责人根据项目实施情况和评价指标体系要求，填评分表和数据统计。</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3、召开党组会议，研究、讨论、决议所报送内容的合法合规合理性，根据党组会议研究结果向区财政局报送资料。</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下达的该笔资金20万元已全部到位，下达该笔资金20万元已全部执行。</w:t>
      </w:r>
    </w:p>
    <w:p>
      <w:pPr>
        <w:autoSpaceDE w:val="0"/>
        <w:spacing w:line="540" w:lineRule="exact"/>
        <w:ind w:firstLine="619"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2022年度，我单位项目支出严格执行国家有关法律、法规和财务规章制度的有关管理规定，健全完善本单位资金使用相关规定。合理编制单位预算，统筹安排，厉行节约，量入为出，保证重点，兼顾一般，注重资金使用效益，保障行政单位正常运转的资金需要。年度末真实准确完整地编制决算报表，认真进行决算分析，反映本期收入、支出及资产变动的情况，分析预算执行、支出结构、量化评价情况等，并按照规定报送区级财政部门。待财政部门批复部门决算后，及时在相关网站公开。</w:t>
      </w:r>
    </w:p>
    <w:p>
      <w:pPr>
        <w:autoSpaceDE w:val="0"/>
        <w:spacing w:line="540" w:lineRule="exact"/>
        <w:ind w:firstLine="619" w:firstLineChars="200"/>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1.项目组织架构及实施流程。</w:t>
      </w:r>
      <w:r>
        <w:rPr>
          <w:rFonts w:hint="eastAsia" w:ascii="仿宋_GB2312" w:hAnsi="宋体" w:eastAsia="仿宋_GB2312" w:cs="Times New Roman"/>
          <w:w w:val="99"/>
          <w:sz w:val="32"/>
          <w:szCs w:val="32"/>
        </w:rPr>
        <w:t xml:space="preserve"> 区残联高度重视该项目的长效管理机制，成立以主要领导为组长，分管领导为副组长，办公室负责人为牵头人、各股室负责人为成员的项目工作领导小组。每月由办公室负责人核实信息，层层汇报项目实施情况，根据项目实际情况，填报资金拨付单。本项目支出按照相关规章制度和项目实施完成情况进行支付，所用支出严格财务管理制度及项目内容使用，做到了专款专用。</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2.项目管理情况。</w:t>
      </w:r>
      <w:r>
        <w:rPr>
          <w:rFonts w:hint="eastAsia" w:ascii="仿宋_GB2312" w:hAnsi="宋体" w:eastAsia="仿宋_GB2312" w:cs="Times New Roman"/>
          <w:w w:val="99"/>
          <w:sz w:val="32"/>
          <w:szCs w:val="32"/>
        </w:rPr>
        <w:t>本项目采取项目工作领导小组负责制，办公室负责人牵头，单位采购人员根据法律法规实施招投标信息录入、公示等程序，该项目两年采购一次。</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3.项目监管情况。</w:t>
      </w:r>
      <w:r>
        <w:rPr>
          <w:rFonts w:hint="eastAsia" w:ascii="仿宋_GB2312" w:hAnsi="宋体" w:eastAsia="仿宋_GB2312" w:cs="Times New Roman"/>
          <w:w w:val="99"/>
          <w:sz w:val="32"/>
          <w:szCs w:val="32"/>
        </w:rPr>
        <w:t>项目资金由财务人员具体管理，业务股室负责人制定管理制度和项目实施方案，单位指派专门人员长期对项目实施定期或不定期进行检查和监督，及时协调解决项目实施过程中的困难和难题，确保项目实施质量。</w:t>
      </w:r>
    </w:p>
    <w:p>
      <w:pPr>
        <w:autoSpaceDE w:val="0"/>
        <w:spacing w:line="540" w:lineRule="exact"/>
        <w:ind w:firstLine="924" w:firstLineChars="3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2022年“智慧量服”手持终端服务工作，对照项目计划完成目标，全年为139名村（社区）残协专委、12名乡镇残联理事长、15名机关干部职工提供服务，全区残疾人工作效能得到有效提升。</w:t>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1.社会效益。“智慧量服”手持终端服务费提升服务效率90％。提高了为残疾人服务的水平，便于精准施策。</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2.可持续影响效益。“智慧量服”手持终端服务费覆盖对象受益率达85％，推动了残疾人事业稳固发展。</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adjustRightInd w:val="0"/>
        <w:snapToGrid w:val="0"/>
        <w:spacing w:line="560" w:lineRule="exact"/>
        <w:ind w:firstLine="720"/>
      </w:pPr>
      <w:r>
        <w:rPr>
          <w:rFonts w:hint="eastAsia" w:ascii="仿宋_GB2312" w:hAnsi="宋体" w:eastAsia="仿宋_GB2312" w:cs="Times New Roman"/>
          <w:w w:val="99"/>
          <w:sz w:val="32"/>
          <w:szCs w:val="32"/>
        </w:rPr>
        <w:t>下一步，我单位将继续强化项目资金的使用和管理，确保不挪用、不挤用、不占用，各项目按时完成、资金执行到位，并强化考核结果应用。</w:t>
      </w:r>
    </w:p>
    <w:p>
      <w:pPr>
        <w:autoSpaceDE w:val="0"/>
        <w:spacing w:line="560" w:lineRule="exact"/>
        <w:jc w:val="center"/>
        <w:rPr>
          <w:rFonts w:hint="eastAsia" w:ascii="方正小标宋简体" w:hAnsi="方正小标宋简体" w:eastAsia="方正小标宋简体" w:cs="方正小标宋简体"/>
          <w:color w:val="000000"/>
          <w:kern w:val="0"/>
          <w:sz w:val="44"/>
          <w:szCs w:val="44"/>
        </w:rPr>
      </w:pP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东西部协作项目支出绩效自评报告</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76" w:lineRule="exact"/>
        <w:ind w:firstLine="619" w:firstLineChars="20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（一）项目资金申报及批复情况。</w:t>
      </w:r>
      <w:r>
        <w:rPr>
          <w:rFonts w:hint="eastAsia" w:ascii="仿宋_GB2312" w:hAnsi="仿宋_GB2312" w:eastAsia="仿宋_GB2312" w:cs="仿宋_GB2312"/>
          <w:kern w:val="0"/>
          <w:sz w:val="32"/>
          <w:szCs w:val="32"/>
        </w:rPr>
        <w:t>东西部协作项目</w:t>
      </w:r>
      <w:r>
        <w:rPr>
          <w:rFonts w:hint="eastAsia" w:ascii="仿宋_GB2312" w:hAnsi="Times New Roman" w:eastAsia="仿宋_GB2312" w:cs="Times New Roman"/>
          <w:spacing w:val="-6"/>
          <w:sz w:val="32"/>
          <w:szCs w:val="32"/>
        </w:rPr>
        <w:t>由单位年初预算申报，区人大批准。区本级下达</w:t>
      </w:r>
      <w:r>
        <w:rPr>
          <w:rFonts w:hint="eastAsia" w:ascii="仿宋_GB2312" w:hAnsi="仿宋_GB2312" w:eastAsia="仿宋_GB2312" w:cs="仿宋_GB2312"/>
          <w:kern w:val="0"/>
          <w:sz w:val="32"/>
          <w:szCs w:val="32"/>
        </w:rPr>
        <w:t>资金9</w:t>
      </w:r>
      <w:r>
        <w:rPr>
          <w:rFonts w:hint="eastAsia" w:ascii="仿宋_GB2312" w:hAnsi="Times New Roman" w:eastAsia="仿宋_GB2312" w:cs="Times New Roman"/>
          <w:spacing w:val="-6"/>
          <w:sz w:val="32"/>
          <w:szCs w:val="32"/>
        </w:rPr>
        <w:t>万元。主要</w:t>
      </w:r>
      <w:r>
        <w:rPr>
          <w:rFonts w:hint="eastAsia" w:ascii="仿宋_GB2312" w:hAnsi="仿宋_GB2312" w:eastAsia="仿宋_GB2312" w:cs="仿宋_GB2312"/>
          <w:sz w:val="32"/>
          <w:szCs w:val="32"/>
        </w:rPr>
        <w:t>用于为残疾人开展残疾人职业技能培训</w:t>
      </w:r>
      <w:r>
        <w:rPr>
          <w:rFonts w:hint="eastAsia" w:ascii="仿宋_GB2312" w:hAnsi="Times New Roman" w:eastAsia="仿宋_GB2312" w:cs="Times New Roman"/>
          <w:spacing w:val="-6"/>
          <w:sz w:val="32"/>
          <w:szCs w:val="32"/>
        </w:rPr>
        <w:t>工作，该项目符合资金管理办法等相关规定。</w:t>
      </w:r>
    </w:p>
    <w:p>
      <w:pPr>
        <w:autoSpaceDE w:val="0"/>
        <w:adjustRightInd w:val="0"/>
        <w:snapToGrid w:val="0"/>
        <w:spacing w:line="540" w:lineRule="exact"/>
        <w:ind w:firstLine="720"/>
        <w:rPr>
          <w:rFonts w:ascii="仿宋_GB2312" w:hAnsi="宋体" w:eastAsia="仿宋_GB2312" w:cs="仿宋_GB2312"/>
          <w:color w:val="000000"/>
          <w:kern w:val="0"/>
          <w:sz w:val="31"/>
          <w:szCs w:val="31"/>
        </w:rPr>
      </w:pPr>
      <w:r>
        <w:rPr>
          <w:rFonts w:hint="eastAsia" w:ascii="楷体_GB2312" w:hAnsi="宋体" w:eastAsia="楷体_GB2312" w:cs="Times New Roman"/>
          <w:b/>
          <w:w w:val="99"/>
          <w:sz w:val="32"/>
          <w:szCs w:val="32"/>
        </w:rPr>
        <w:t>（二）项目绩效目标。</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进一步提高了全区残疾人职业技能水平，让残疾人实现就业和稳定就业，让200名有就业创业愿望和培训需求的残疾人掌握了1项职业技能，有效促进和帮助他们就业创业。</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rPr>
        <w:t>项目申报和项目实施相符。</w:t>
      </w:r>
    </w:p>
    <w:p>
      <w:pPr>
        <w:autoSpaceDE w:val="0"/>
        <w:adjustRightInd w:val="0"/>
        <w:snapToGrid w:val="0"/>
        <w:spacing w:line="540" w:lineRule="exact"/>
        <w:ind w:firstLine="720"/>
        <w:rPr>
          <w:rFonts w:eastAsia="楷体_GB2312"/>
        </w:rPr>
      </w:pPr>
      <w:r>
        <w:rPr>
          <w:rFonts w:hint="eastAsia" w:ascii="楷体_GB2312" w:hAnsi="宋体" w:eastAsia="楷体_GB2312" w:cs="Times New Roman"/>
          <w:b/>
          <w:w w:val="99"/>
          <w:sz w:val="32"/>
          <w:szCs w:val="32"/>
        </w:rPr>
        <w:t>（三）项目自评步骤及方法。</w:t>
      </w:r>
    </w:p>
    <w:p>
      <w:pPr>
        <w:autoSpaceDE w:val="0"/>
        <w:adjustRightInd w:val="0"/>
        <w:snapToGrid w:val="0"/>
        <w:spacing w:line="540" w:lineRule="exact"/>
        <w:ind w:firstLine="720"/>
      </w:pPr>
      <w:r>
        <w:rPr>
          <w:rFonts w:hint="eastAsia" w:ascii="仿宋_GB2312" w:hAnsi="宋体" w:eastAsia="仿宋_GB2312" w:cs="Times New Roman"/>
          <w:w w:val="99"/>
          <w:sz w:val="32"/>
          <w:szCs w:val="32"/>
        </w:rPr>
        <w:t>1、了解、收集财政支出项目的相关资料、政策，参照部门财政支出项目评价体系。</w:t>
      </w:r>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2、召开干部职工大会，各业务股室负责人根据项目实施情况和评价指标体系要求，填评分表和数据统计。</w:t>
      </w:r>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3、召开党组会议，研究、讨论、决议所报送内容的合法合规合理性，根据党组会议研究结果向区财政局报送资料。</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下达的</w:t>
      </w:r>
      <w:r>
        <w:rPr>
          <w:rFonts w:hint="eastAsia" w:ascii="仿宋_GB2312" w:hAnsi="仿宋_GB2312" w:eastAsia="仿宋_GB2312" w:cs="仿宋_GB2312"/>
          <w:kern w:val="0"/>
          <w:sz w:val="32"/>
          <w:szCs w:val="32"/>
        </w:rPr>
        <w:t>该笔资金9</w:t>
      </w:r>
      <w:r>
        <w:rPr>
          <w:rFonts w:hint="eastAsia" w:ascii="仿宋_GB2312" w:hAnsi="Times New Roman" w:eastAsia="仿宋_GB2312" w:cs="Times New Roman"/>
          <w:spacing w:val="-6"/>
          <w:sz w:val="32"/>
          <w:szCs w:val="32"/>
        </w:rPr>
        <w:t>万元已全部到位，下达</w:t>
      </w:r>
      <w:r>
        <w:rPr>
          <w:rFonts w:hint="eastAsia" w:ascii="仿宋_GB2312" w:hAnsi="仿宋_GB2312" w:eastAsia="仿宋_GB2312" w:cs="仿宋_GB2312"/>
          <w:kern w:val="0"/>
          <w:sz w:val="32"/>
          <w:szCs w:val="32"/>
        </w:rPr>
        <w:t>该笔资金</w:t>
      </w:r>
      <w:r>
        <w:rPr>
          <w:rFonts w:hint="eastAsia" w:ascii="仿宋_GB2312" w:hAnsi="Times New Roman" w:eastAsia="仿宋_GB2312" w:cs="Times New Roman"/>
          <w:spacing w:val="-6"/>
          <w:sz w:val="32"/>
          <w:szCs w:val="32"/>
        </w:rPr>
        <w:t>9万元已全部执行。</w:t>
      </w:r>
    </w:p>
    <w:p>
      <w:pPr>
        <w:autoSpaceDE w:val="0"/>
        <w:spacing w:line="540" w:lineRule="exact"/>
        <w:ind w:firstLine="619"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2022年度我单位项目支出严格执行国家有关法律、法规和财务规章制度的有关管理规定，健全完善本单位资金使用相关规定。合理编制单位预算，统筹安排，厉行节约，量入为出，保证重点，兼顾一般，注重资金使用效益，保障行政单位正常运转的资金需要。注重单位国有资产管理，定期或者不定期进行清查盘点，防止国有资产流失。年度末真实准确完整地编制单位本年度编制决算报表，认真进行决算分析，反映本期收入、支出及资产变动的情况，分析预算执行、支出结构、量化评价情况等，并按照规定报送区级财政部门。待财政部门批复部门决算后，及时在相关网站公开。</w:t>
      </w:r>
    </w:p>
    <w:p>
      <w:pPr>
        <w:autoSpaceDE w:val="0"/>
        <w:spacing w:line="540" w:lineRule="exact"/>
        <w:ind w:firstLine="619" w:firstLineChars="200"/>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1.项目组织架构及实施流程。</w:t>
      </w:r>
      <w:r>
        <w:rPr>
          <w:rFonts w:hint="eastAsia"/>
        </w:rPr>
        <w:t xml:space="preserve"> </w:t>
      </w:r>
      <w:r>
        <w:rPr>
          <w:rFonts w:hint="eastAsia" w:ascii="仿宋_GB2312" w:hAnsi="宋体" w:eastAsia="仿宋_GB2312" w:cs="Times New Roman"/>
          <w:w w:val="99"/>
          <w:sz w:val="32"/>
          <w:szCs w:val="32"/>
        </w:rPr>
        <w:t>区残联高度重视该项目的长效管理机制，成立以主要领导为组长，分管领导为副组长，项目负责人为牵头人，业务股室其余人员为成员的工作领导小组。每月由股室负责人核实信息，形成层层汇报项目实施情况机制，根据项目实际情况，填报资金拨付单。该项目支出按照相关规章制度和项目实施完成情况进行支付，所用支出严格财务管理制度及项目内容使用，做到了专款专用。</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2.项目管理情况。</w:t>
      </w:r>
      <w:r>
        <w:rPr>
          <w:rFonts w:hint="eastAsia" w:ascii="仿宋_GB2312" w:hAnsi="宋体" w:eastAsia="仿宋_GB2312" w:cs="Times New Roman"/>
          <w:w w:val="99"/>
          <w:sz w:val="32"/>
          <w:szCs w:val="32"/>
        </w:rPr>
        <w:t>采取工作领导小组负责制，相关股室负责人牵头，单位采购人员根据法律法规实施招投标信息录入、公示等程序。</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3.项目监管情况。</w:t>
      </w:r>
      <w:r>
        <w:rPr>
          <w:rFonts w:hint="eastAsia" w:ascii="仿宋_GB2312" w:hAnsi="宋体" w:eastAsia="仿宋_GB2312" w:cs="Times New Roman"/>
          <w:w w:val="99"/>
          <w:sz w:val="32"/>
          <w:szCs w:val="32"/>
        </w:rPr>
        <w:t>项目资金由财务人员具体管理，业务股室负责人制定管理制度和项目实施方案，单位指派专门人员长期对项目实施定期或不定期进行检查和监督，及时协调解决项目实施过程中的困难和难题，确保项目实施质量。</w:t>
      </w:r>
    </w:p>
    <w:p>
      <w:pPr>
        <w:pStyle w:val="2"/>
        <w:ind w:left="0" w:leftChars="0" w:firstLine="0" w:firstLineChars="0"/>
      </w:pP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2022年东西部协作项目，对照项目计划完成目标，全年为200名残疾人提供残疾人职业技能培训。有效地维护了资金安全，保障资金平稳运行。</w:t>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1.社会效益。 东西部协作资金促进残疾人掌握一门技术达80％。拓宽了残疾人就业渠道。</w:t>
      </w:r>
    </w:p>
    <w:p>
      <w:pPr>
        <w:autoSpaceDE w:val="0"/>
        <w:adjustRightInd w:val="0"/>
        <w:snapToGrid w:val="0"/>
        <w:spacing w:line="560" w:lineRule="exact"/>
        <w:ind w:firstLine="720"/>
        <w:rPr>
          <w:rFonts w:ascii="黑体" w:hAnsi="黑体" w:eastAsia="黑体" w:cs="Times New Roman"/>
          <w:spacing w:val="-6"/>
          <w:sz w:val="32"/>
          <w:szCs w:val="32"/>
        </w:rPr>
      </w:pPr>
      <w:r>
        <w:rPr>
          <w:rFonts w:hint="eastAsia" w:ascii="仿宋_GB2312" w:hAnsi="宋体" w:eastAsia="仿宋_GB2312" w:cs="Times New Roman"/>
          <w:w w:val="99"/>
          <w:sz w:val="32"/>
          <w:szCs w:val="32"/>
        </w:rPr>
        <w:t xml:space="preserve">2.可持续影响效益。 东西部协作资金覆盖有需求的残疾人受益率达85％。 </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下一步，我单位将继续强化项目资金的使用和管理，确保不挪用、不挤用、不占用，各项目按时完成、资金执行到位，并强化考核结果应用。</w:t>
      </w:r>
    </w:p>
    <w:p>
      <w:pPr>
        <w:autoSpaceDE w:val="0"/>
        <w:spacing w:line="560" w:lineRule="exact"/>
        <w:jc w:val="center"/>
        <w:rPr>
          <w:rFonts w:hint="eastAsia" w:ascii="方正小标宋简体" w:hAnsi="方正小标宋简体" w:eastAsia="方正小标宋简体" w:cs="方正小标宋简体"/>
          <w:kern w:val="0"/>
          <w:sz w:val="44"/>
          <w:szCs w:val="44"/>
        </w:rPr>
      </w:pPr>
    </w:p>
    <w:p>
      <w:pPr>
        <w:autoSpaceDE w:val="0"/>
        <w:spacing w:line="560" w:lineRule="exact"/>
        <w:jc w:val="center"/>
        <w:rPr>
          <w:rFonts w:ascii="方正小标宋简体" w:hAnsi="宋体" w:eastAsia="宋体" w:cs="Times New Roman"/>
          <w:kern w:val="0"/>
          <w:sz w:val="44"/>
          <w:szCs w:val="44"/>
        </w:rPr>
      </w:pPr>
      <w:r>
        <w:rPr>
          <w:rFonts w:hint="eastAsia" w:ascii="方正小标宋简体" w:hAnsi="方正小标宋简体" w:eastAsia="方正小标宋简体" w:cs="方正小标宋简体"/>
          <w:kern w:val="0"/>
          <w:sz w:val="44"/>
          <w:szCs w:val="44"/>
        </w:rPr>
        <w:t>残疾人代表大会项目支出绩效自评报告</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76" w:lineRule="exact"/>
        <w:ind w:firstLine="619" w:firstLineChars="20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（一）项目资金申报及批复情况。</w:t>
      </w:r>
      <w:r>
        <w:rPr>
          <w:rFonts w:hint="eastAsia" w:ascii="仿宋_GB2312" w:hAnsi="仿宋_GB2312" w:eastAsia="仿宋_GB2312" w:cs="仿宋_GB2312"/>
          <w:kern w:val="0"/>
          <w:sz w:val="32"/>
          <w:szCs w:val="32"/>
        </w:rPr>
        <w:t>残</w:t>
      </w:r>
      <w:r>
        <w:rPr>
          <w:rFonts w:hint="eastAsia" w:ascii="仿宋_GB2312" w:hAnsi="宋体" w:eastAsia="仿宋_GB2312" w:cs="Times New Roman"/>
          <w:w w:val="99"/>
          <w:sz w:val="32"/>
          <w:szCs w:val="32"/>
        </w:rPr>
        <w:t>疾人代表大会经费由单位年初预算申报，区人大批准。区本级下达资金6万元。主要用于残疾人代表大会资料编印、会务招待（含生活、住宿费用）、广告制作、宣传等方面。符合资金管理办法等相关规定。</w:t>
      </w:r>
    </w:p>
    <w:p>
      <w:pPr>
        <w:autoSpaceDE w:val="0"/>
        <w:adjustRightInd w:val="0"/>
        <w:snapToGrid w:val="0"/>
        <w:spacing w:line="540" w:lineRule="exact"/>
        <w:ind w:firstLine="720"/>
        <w:rPr>
          <w:rFonts w:ascii="仿宋_GB2312" w:hAnsi="宋体" w:eastAsia="仿宋_GB2312" w:cs="仿宋_GB2312"/>
          <w:kern w:val="0"/>
          <w:sz w:val="31"/>
          <w:szCs w:val="31"/>
        </w:rPr>
      </w:pPr>
      <w:r>
        <w:rPr>
          <w:rFonts w:hint="eastAsia" w:ascii="楷体_GB2312" w:hAnsi="宋体" w:eastAsia="楷体_GB2312" w:cs="Times New Roman"/>
          <w:b/>
          <w:w w:val="99"/>
          <w:sz w:val="32"/>
          <w:szCs w:val="32"/>
        </w:rPr>
        <w:t>（二）项目绩效目标。</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召开全区残疾人代表大会，选举产生新一届残联主席团、执行理事会和五大专门协会，推动残联改革落地落实，加强基层残联组织建设，提升残疾人组织治理能力和服务能力。</w:t>
      </w:r>
    </w:p>
    <w:p>
      <w:pPr>
        <w:autoSpaceDE w:val="0"/>
        <w:spacing w:line="540" w:lineRule="exact"/>
        <w:ind w:firstLine="619"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
          <w:spacing w:val="-6"/>
          <w:sz w:val="32"/>
          <w:szCs w:val="32"/>
        </w:rPr>
        <w:t>（三）项目资金申报相符性。</w:t>
      </w:r>
      <w:r>
        <w:rPr>
          <w:rFonts w:hint="eastAsia" w:ascii="仿宋_GB2312" w:hAnsi="Times New Roman" w:eastAsia="仿宋_GB2312" w:cs="Times New Roman"/>
          <w:spacing w:val="-6"/>
          <w:sz w:val="32"/>
          <w:szCs w:val="32"/>
        </w:rPr>
        <w:t>项目申报和项目实施相符。</w:t>
      </w:r>
    </w:p>
    <w:p>
      <w:pPr>
        <w:autoSpaceDE w:val="0"/>
        <w:spacing w:line="540" w:lineRule="exact"/>
        <w:ind w:firstLine="619" w:firstLineChars="200"/>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（四）项目自评步骤及方法。</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1、了解、收集财政支出项目的相关资料、政策，参照部门财政支出项目评价体系。</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2、召开干部职工大会，各业务股室负责人根据项目实施情况和评价指标体系要求，填评分表和数据统计。</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3、召开党组会议，研究、讨论、决议所报送内容的合法合规合理性，根据党组会议研究结果向区财政局报送资料。</w:t>
      </w:r>
    </w:p>
    <w:p>
      <w:pPr>
        <w:autoSpaceDE w:val="0"/>
        <w:adjustRightInd w:val="0"/>
        <w:snapToGrid w:val="0"/>
        <w:spacing w:line="5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下达的该笔资金6万元已全部到位，下达该笔资金6万元已全部执行。</w:t>
      </w:r>
    </w:p>
    <w:p>
      <w:pPr>
        <w:autoSpaceDE w:val="0"/>
        <w:spacing w:line="540" w:lineRule="exact"/>
        <w:ind w:firstLine="619"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2022年度，我单位项目支出严格执行国家有关法律、法规和财务规章制度的有关管理规定，健全完善本单位资金使用相关规定。合理编制单位预算，统筹安排，厉行节约，量入为出，保证重点，兼顾一般，注重资金使用效益，保障行政单位正常运转的资金需要。年度末真实准确完整地编制决算报表，认真进行决算分析，反映本期收入、支出及资产变动的情况，分析预算执行、支出结构、量化评价情况等，并按照规定报送区级财政部门。待财政部门批复部门决算后，及时在相关网站公开。</w:t>
      </w:r>
    </w:p>
    <w:p>
      <w:pPr>
        <w:autoSpaceDE w:val="0"/>
        <w:spacing w:line="540" w:lineRule="exact"/>
        <w:ind w:firstLine="619" w:firstLineChars="200"/>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1.项目组织架构及实施流程。</w:t>
      </w:r>
      <w:r>
        <w:rPr>
          <w:rFonts w:hint="eastAsia" w:ascii="仿宋_GB2312" w:hAnsi="宋体" w:eastAsia="仿宋_GB2312" w:cs="Times New Roman"/>
          <w:w w:val="99"/>
          <w:sz w:val="32"/>
          <w:szCs w:val="32"/>
        </w:rPr>
        <w:t>区残联高度重视残疾人代表大会的召开，制定会议方案并报区委审批同意后，成立以主要领导为组长，班子成员为副组长，各股室人员为成员的工作领导小组，具体负责代表大会的统筹协调、组织实施。</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2.项目管理情况。</w:t>
      </w:r>
      <w:r>
        <w:rPr>
          <w:rFonts w:hint="eastAsia" w:ascii="仿宋_GB2312" w:hAnsi="宋体" w:eastAsia="仿宋_GB2312" w:cs="Times New Roman"/>
          <w:w w:val="99"/>
          <w:sz w:val="32"/>
          <w:szCs w:val="32"/>
        </w:rPr>
        <w:t>本项目采取项目工作领导小组负责制，由办公室负责人牵头，各股室配合，组织实施。</w:t>
      </w:r>
    </w:p>
    <w:p>
      <w:pPr>
        <w:autoSpaceDE w:val="0"/>
        <w:adjustRightInd w:val="0"/>
        <w:snapToGrid w:val="0"/>
        <w:spacing w:line="560" w:lineRule="exact"/>
        <w:ind w:firstLine="635" w:firstLineChars="20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3.项目监管情况。</w:t>
      </w:r>
      <w:r>
        <w:rPr>
          <w:rFonts w:hint="eastAsia" w:ascii="仿宋_GB2312" w:hAnsi="宋体" w:eastAsia="仿宋_GB2312" w:cs="Times New Roman"/>
          <w:w w:val="99"/>
          <w:sz w:val="32"/>
          <w:szCs w:val="32"/>
        </w:rPr>
        <w:t>项目资金由财务人员具体管理，项目负责人和相关业务股室负责人按照实施方案进行组织实施，分管领导定期或不定期进行检查和监督，及时协调解决项目实施过程中的困难和问题，确保项目实施质量。</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2022年，按照项目计划召开了一次残疾人代表大会，选举产生了新一届主席团、执行理事会、五大专门协会，研究了残疾人事业发展政策等，全面完成了项目任务，有效地维护了资金安全，保障资金平稳运行。</w:t>
      </w:r>
    </w:p>
    <w:p>
      <w:pPr>
        <w:autoSpaceDE w:val="0"/>
        <w:spacing w:line="540" w:lineRule="exact"/>
        <w:ind w:firstLine="635" w:firstLineChars="20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1.社会效益。进一步促进全区残疾人事业健康有序发展。</w:t>
      </w:r>
    </w:p>
    <w:p>
      <w:pPr>
        <w:autoSpaceDE w:val="0"/>
        <w:adjustRightInd w:val="0"/>
        <w:snapToGrid w:val="0"/>
        <w:spacing w:line="560" w:lineRule="exact"/>
        <w:ind w:firstLine="720"/>
        <w:rPr>
          <w:rFonts w:ascii="黑体" w:hAnsi="黑体" w:eastAsia="黑体" w:cs="Times New Roman"/>
          <w:spacing w:val="-6"/>
          <w:sz w:val="32"/>
          <w:szCs w:val="32"/>
        </w:rPr>
      </w:pPr>
      <w:r>
        <w:rPr>
          <w:rFonts w:hint="eastAsia" w:ascii="仿宋_GB2312" w:hAnsi="宋体" w:eastAsia="仿宋_GB2312" w:cs="Times New Roman"/>
          <w:w w:val="99"/>
          <w:sz w:val="32"/>
          <w:szCs w:val="32"/>
        </w:rPr>
        <w:t>2.可持续影响效益</w:t>
      </w:r>
      <w:r>
        <w:rPr>
          <w:rFonts w:hint="eastAsia" w:ascii="仿宋_GB2312" w:hAnsi="宋体" w:eastAsia="仿宋_GB2312" w:cs="Times New Roman"/>
          <w:color w:val="FF0000"/>
          <w:w w:val="99"/>
          <w:sz w:val="32"/>
          <w:szCs w:val="32"/>
        </w:rPr>
        <w:t>。</w:t>
      </w:r>
      <w:r>
        <w:rPr>
          <w:rFonts w:hint="eastAsia" w:ascii="仿宋_GB2312" w:hAnsi="宋体" w:eastAsia="仿宋_GB2312" w:cs="Times New Roman"/>
          <w:w w:val="99"/>
          <w:sz w:val="32"/>
          <w:szCs w:val="32"/>
        </w:rPr>
        <w:t>残疾人政策知晓覆盖率有所提升。</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adjustRightInd w:val="0"/>
        <w:snapToGrid w:val="0"/>
        <w:spacing w:line="560" w:lineRule="exact"/>
        <w:ind w:firstLine="720"/>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下一步，我单位将继续强化项目资金的使用和管理，确保不挪用、不挤用、不占用，各项目按时完成、资金执行到位，并强化考核结果应用</w:t>
      </w:r>
      <w:bookmarkStart w:id="93" w:name="_Toc15396618"/>
      <w:r>
        <w:rPr>
          <w:rFonts w:hint="eastAsia" w:ascii="仿宋_GB2312" w:hAnsi="宋体" w:eastAsia="仿宋_GB2312" w:cs="Times New Roman"/>
          <w:w w:val="99"/>
          <w:sz w:val="32"/>
          <w:szCs w:val="32"/>
          <w:lang w:eastAsia="zh-CN"/>
        </w:rPr>
        <w:t>。</w:t>
      </w:r>
      <w:bookmarkEnd w:id="89"/>
      <w:bookmarkEnd w:id="93"/>
    </w:p>
    <w:p>
      <w:pPr>
        <w:numPr>
          <w:numId w:val="0"/>
        </w:numPr>
        <w:spacing w:line="600" w:lineRule="exact"/>
        <w:jc w:val="center"/>
        <w:outlineLvl w:val="0"/>
        <w:rPr>
          <w:rStyle w:val="30"/>
          <w:rFonts w:hint="eastAsia" w:ascii="黑体" w:hAnsi="黑体" w:eastAsia="黑体"/>
          <w:b w:val="0"/>
          <w:color w:val="auto"/>
          <w:highlight w:val="none"/>
        </w:rPr>
      </w:pPr>
      <w:bookmarkStart w:id="94" w:name="_Toc24111"/>
      <w:r>
        <w:rPr>
          <w:rStyle w:val="30"/>
          <w:rFonts w:hint="eastAsia" w:ascii="黑体" w:hAnsi="黑体" w:eastAsia="黑体"/>
          <w:b w:val="0"/>
          <w:color w:val="auto"/>
          <w:highlight w:val="none"/>
          <w:lang w:eastAsia="zh-CN"/>
        </w:rPr>
        <w:t>第五部分</w:t>
      </w:r>
      <w:r>
        <w:rPr>
          <w:rStyle w:val="30"/>
          <w:rFonts w:hint="eastAsia" w:ascii="黑体" w:hAnsi="黑体" w:eastAsia="黑体"/>
          <w:b w:val="0"/>
          <w:color w:val="auto"/>
          <w:highlight w:val="none"/>
          <w:lang w:val="en-US" w:eastAsia="zh-CN"/>
        </w:rPr>
        <w:t xml:space="preserve"> </w:t>
      </w:r>
      <w:r>
        <w:rPr>
          <w:rStyle w:val="30"/>
          <w:rFonts w:hint="eastAsia" w:ascii="黑体" w:hAnsi="黑体" w:eastAsia="黑体"/>
          <w:b w:val="0"/>
          <w:color w:val="auto"/>
          <w:highlight w:val="none"/>
        </w:rPr>
        <w:t>附表</w:t>
      </w:r>
      <w:bookmarkEnd w:id="94"/>
      <w:bookmarkStart w:id="95" w:name="_Toc15396619"/>
      <w:bookmarkStart w:id="96" w:name="_Toc6840"/>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一、收入支出决算总表</w:t>
      </w:r>
      <w:bookmarkEnd w:id="95"/>
      <w:bookmarkEnd w:id="96"/>
      <w:bookmarkStart w:id="97" w:name="_Toc15396620"/>
      <w:bookmarkStart w:id="98" w:name="_Toc29426"/>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二、收入决算表</w:t>
      </w:r>
      <w:bookmarkEnd w:id="97"/>
      <w:bookmarkEnd w:id="98"/>
      <w:bookmarkStart w:id="99" w:name="_Toc15396621"/>
      <w:bookmarkStart w:id="100" w:name="_Toc7025"/>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三、支出决算表</w:t>
      </w:r>
      <w:bookmarkEnd w:id="99"/>
      <w:bookmarkEnd w:id="100"/>
      <w:bookmarkStart w:id="101" w:name="_Toc15396622"/>
      <w:bookmarkStart w:id="102" w:name="_Toc15971"/>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四、财政拨款收入支出决算总表</w:t>
      </w:r>
      <w:bookmarkEnd w:id="101"/>
      <w:bookmarkEnd w:id="102"/>
      <w:bookmarkStart w:id="103" w:name="_Toc15396623"/>
      <w:bookmarkStart w:id="104" w:name="_Toc12402"/>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五、财政拨款支出决算明细表</w:t>
      </w:r>
      <w:bookmarkEnd w:id="103"/>
      <w:bookmarkEnd w:id="104"/>
      <w:bookmarkStart w:id="105" w:name="_Toc15396624"/>
      <w:bookmarkStart w:id="106" w:name="_Toc30980"/>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六、一般公共预算财政拨款支出决算表</w:t>
      </w:r>
      <w:bookmarkEnd w:id="105"/>
      <w:bookmarkEnd w:id="106"/>
      <w:bookmarkStart w:id="107" w:name="_Toc15396625"/>
      <w:bookmarkStart w:id="108" w:name="_Toc29884"/>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七、一般公共预算财政拨款支出决算明细表</w:t>
      </w:r>
      <w:bookmarkEnd w:id="107"/>
      <w:bookmarkEnd w:id="108"/>
      <w:bookmarkStart w:id="109" w:name="_Toc15396626"/>
      <w:bookmarkStart w:id="110" w:name="_Toc11323"/>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八、一般公共预算财政拨款基本支出决算表</w:t>
      </w:r>
      <w:bookmarkEnd w:id="109"/>
      <w:bookmarkEnd w:id="110"/>
      <w:bookmarkStart w:id="111" w:name="_Toc15396627"/>
      <w:bookmarkStart w:id="112" w:name="_Toc17658"/>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九、一般公共预算财政拨款项目支出决算表</w:t>
      </w:r>
      <w:bookmarkEnd w:id="111"/>
      <w:bookmarkEnd w:id="112"/>
      <w:bookmarkStart w:id="113" w:name="_Toc15396628"/>
      <w:bookmarkStart w:id="114" w:name="_Toc16244"/>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十、</w:t>
      </w:r>
      <w:bookmarkEnd w:id="113"/>
      <w:r>
        <w:rPr>
          <w:rFonts w:hint="eastAsia" w:ascii="仿宋_GB2312" w:hAnsi="宋体" w:eastAsia="仿宋_GB2312" w:cs="Times New Roman"/>
          <w:w w:val="99"/>
          <w:sz w:val="32"/>
          <w:szCs w:val="32"/>
        </w:rPr>
        <w:t>政府性基金预算财政拨款收入支出决算表</w:t>
      </w:r>
      <w:bookmarkEnd w:id="114"/>
      <w:bookmarkStart w:id="115" w:name="_Toc15396629"/>
      <w:bookmarkStart w:id="116" w:name="_Toc14996"/>
    </w:p>
    <w:p>
      <w:pPr>
        <w:autoSpaceDE w:val="0"/>
        <w:adjustRightInd w:val="0"/>
        <w:snapToGrid w:val="0"/>
        <w:spacing w:line="560" w:lineRule="exact"/>
        <w:jc w:val="left"/>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十一、</w:t>
      </w:r>
      <w:bookmarkEnd w:id="115"/>
      <w:r>
        <w:rPr>
          <w:rFonts w:hint="eastAsia" w:ascii="仿宋_GB2312" w:hAnsi="宋体" w:eastAsia="仿宋_GB2312" w:cs="Times New Roman"/>
          <w:w w:val="99"/>
          <w:sz w:val="32"/>
          <w:szCs w:val="32"/>
        </w:rPr>
        <w:t>国有资本经营预算</w:t>
      </w:r>
      <w:r>
        <w:rPr>
          <w:rFonts w:hint="eastAsia" w:ascii="仿宋_GB2312" w:hAnsi="宋体" w:eastAsia="仿宋_GB2312" w:cs="Times New Roman"/>
          <w:w w:val="99"/>
          <w:sz w:val="32"/>
          <w:szCs w:val="32"/>
          <w:lang w:eastAsia="zh-CN"/>
        </w:rPr>
        <w:t>财政拨款收入</w:t>
      </w:r>
      <w:r>
        <w:rPr>
          <w:rFonts w:hint="eastAsia" w:ascii="仿宋_GB2312" w:hAnsi="宋体" w:eastAsia="仿宋_GB2312" w:cs="Times New Roman"/>
          <w:w w:val="99"/>
          <w:sz w:val="32"/>
          <w:szCs w:val="32"/>
        </w:rPr>
        <w:t>支出决算表</w:t>
      </w:r>
      <w:bookmarkEnd w:id="116"/>
      <w:bookmarkStart w:id="117" w:name="_Toc15396630"/>
      <w:bookmarkStart w:id="118" w:name="_Toc27671"/>
    </w:p>
    <w:p>
      <w:pPr>
        <w:autoSpaceDE w:val="0"/>
        <w:adjustRightInd w:val="0"/>
        <w:snapToGrid w:val="0"/>
        <w:spacing w:line="560" w:lineRule="exact"/>
        <w:jc w:val="left"/>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十二、</w:t>
      </w:r>
      <w:bookmarkEnd w:id="117"/>
      <w:r>
        <w:rPr>
          <w:rFonts w:hint="eastAsia" w:ascii="仿宋_GB2312" w:hAnsi="宋体" w:eastAsia="仿宋_GB2312" w:cs="Times New Roman"/>
          <w:w w:val="99"/>
          <w:sz w:val="32"/>
          <w:szCs w:val="32"/>
          <w:lang w:eastAsia="zh-CN"/>
        </w:rPr>
        <w:t>国有资本经营预算财政拨款支出决算表</w:t>
      </w:r>
      <w:bookmarkEnd w:id="118"/>
      <w:bookmarkStart w:id="119" w:name="_Toc15396631"/>
      <w:bookmarkStart w:id="120" w:name="_Toc22976"/>
    </w:p>
    <w:p>
      <w:pPr>
        <w:autoSpaceDE w:val="0"/>
        <w:adjustRightInd w:val="0"/>
        <w:snapToGrid w:val="0"/>
        <w:spacing w:line="560" w:lineRule="exact"/>
        <w:jc w:val="left"/>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十三、</w:t>
      </w:r>
      <w:bookmarkEnd w:id="119"/>
      <w:r>
        <w:rPr>
          <w:rFonts w:hint="eastAsia" w:ascii="仿宋_GB2312" w:hAnsi="宋体" w:eastAsia="仿宋_GB2312" w:cs="Times New Roman"/>
          <w:w w:val="99"/>
          <w:sz w:val="32"/>
          <w:szCs w:val="32"/>
          <w:lang w:eastAsia="zh-CN"/>
        </w:rPr>
        <w:t>财政拨款“三公”经费支出决算表</w:t>
      </w:r>
      <w:bookmarkEnd w:id="120"/>
    </w:p>
    <w:p>
      <w:pPr>
        <w:pStyle w:val="2"/>
        <w:rPr>
          <w:rFonts w:hint="eastAsia"/>
          <w:lang w:eastAsia="zh-CN"/>
        </w:rPr>
      </w:pPr>
    </w:p>
    <w:sectPr>
      <w:headerReference r:id="rId5" w:type="default"/>
      <w:footerReference r:id="rId6" w:type="default"/>
      <w:pgSz w:w="11906" w:h="16838"/>
      <w:pgMar w:top="1958" w:right="1800" w:bottom="1440" w:left="1800" w:header="851" w:footer="992" w:gutter="0"/>
      <w:pgNumType w:start="1"/>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w:date="2023-06-25T22:59:00Z" w:initials="M">
    <w:p w14:paraId="7AFD3338">
      <w:pPr>
        <w:pStyle w:val="6"/>
      </w:pPr>
      <w:r>
        <w:t>没有按照绩效评价指标体系进行描述：</w:t>
      </w:r>
      <w:r>
        <w:rPr>
          <w:rFonts w:hint="eastAsia"/>
        </w:rPr>
        <w:t>按照专项预算项目自评工作要求对本部门管理的专项预算项目进行自评并打分，形成自评报告；有两个及以上专项预算项目的，以平均分作为自评得分。按百分制形成的自评报告分数，按0.4的比例换算成此项指标得分。   即评价年度有多少专项预算项目进行自评，得分多少，按0.4的比例换算本项指标得分多少</w:t>
      </w:r>
    </w:p>
  </w:comment>
  <w:comment w:id="1" w:author="Microsoft" w:date="2023-06-25T23:01:00Z" w:initials="M">
    <w:p w14:paraId="420107A3">
      <w:pPr>
        <w:pStyle w:val="6"/>
      </w:pPr>
      <w:r>
        <w:t>应该是自评得分与评价组抽查得分差异为</w:t>
      </w:r>
      <w:r>
        <w:rPr>
          <w:rFonts w:hint="eastAsia"/>
        </w:rPr>
        <w:t>2%，在5%之内不扣分</w:t>
      </w:r>
    </w:p>
  </w:comment>
  <w:comment w:id="2" w:author="Microsoft" w:date="2023-06-25T23:04:00Z" w:initials="M">
    <w:p w14:paraId="29630D68">
      <w:pPr>
        <w:pStyle w:val="6"/>
      </w:pPr>
      <w:r>
        <w:t>绩效自评得分应该是</w:t>
      </w:r>
      <w:r>
        <w:rPr>
          <w:rFonts w:hint="eastAsia"/>
        </w:rPr>
        <w:t>100分，得分=98/（100-2）*100=100</w:t>
      </w:r>
    </w:p>
  </w:comment>
  <w:comment w:id="3" w:author="Microsoft" w:date="2023-06-25T23:13:00Z" w:initials="M">
    <w:p w14:paraId="3EA051D0">
      <w:pPr>
        <w:pStyle w:val="6"/>
      </w:pPr>
      <w:r>
        <w:t>因为自评得分是</w:t>
      </w:r>
      <w:r>
        <w:rPr>
          <w:rFonts w:hint="eastAsia"/>
        </w:rPr>
        <w:t>100分，没有扣分项，所以原则上就不存在问题。实际上专项预算项目绩效目标中存在数量指标与成本指标未对应的问题，数量指标14个，但成本指标只有13个，正确的是数量指标有多少个，相对应的就应该有多少个成本指标，所以选取数量指标一定不能太细，应该选择适合的数量指标，数量指标选择的级次越小，会给考核带来不利，也不符合项目的正常情况，通常项目在执行过程中都会有些细节的调整，但大的类目是不会有变化的</w:t>
      </w:r>
    </w:p>
  </w:comment>
  <w:comment w:id="4" w:author="Microsoft" w:date="2023-06-25T23:15:00Z" w:initials="M">
    <w:p w14:paraId="13757455">
      <w:pPr>
        <w:pStyle w:val="6"/>
      </w:pPr>
      <w:r>
        <w:t>在项目绩效自评表中存在的问题，主要是完成的指标值一定是一个具体的数值，而不是</w:t>
      </w:r>
      <w:r>
        <w:rPr>
          <w:rFonts w:hint="eastAsia" w:asciiTheme="minorEastAsia" w:hAnsiTheme="minorEastAsia"/>
        </w:rPr>
        <w:t>≥</w:t>
      </w:r>
      <w:r>
        <w:t>，体现一个区间值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FD3338" w15:done="0"/>
  <w15:commentEx w15:paraId="420107A3" w15:done="0"/>
  <w15:commentEx w15:paraId="29630D68" w15:done="0"/>
  <w15:commentEx w15:paraId="3EA051D0" w15:done="0"/>
  <w15:commentEx w15:paraId="137574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大标宋简体">
    <w:altName w:val="微软雅黑"/>
    <w:panose1 w:val="02010601030101010101"/>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8B1A"/>
    <w:multiLevelType w:val="singleLevel"/>
    <w:tmpl w:val="87678B1A"/>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204C206"/>
    <w:multiLevelType w:val="singleLevel"/>
    <w:tmpl w:val="D204C206"/>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pPr>
        <w:ind w:left="2490"/>
      </w:pPr>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2B81A2B"/>
    <w:multiLevelType w:val="singleLevel"/>
    <w:tmpl w:val="12B81A2B"/>
    <w:lvl w:ilvl="0" w:tentative="0">
      <w:start w:val="2"/>
      <w:numFmt w:val="chineseCounting"/>
      <w:suff w:val="nothing"/>
      <w:lvlText w:val="（%1）"/>
      <w:lvlJc w:val="left"/>
      <w:rPr>
        <w:rFonts w:hint="eastAsia"/>
      </w:rPr>
    </w:lvl>
  </w:abstractNum>
  <w:abstractNum w:abstractNumId="6">
    <w:nsid w:val="1725CF48"/>
    <w:multiLevelType w:val="singleLevel"/>
    <w:tmpl w:val="1725CF48"/>
    <w:lvl w:ilvl="0" w:tentative="0">
      <w:start w:val="1"/>
      <w:numFmt w:val="chineseCounting"/>
      <w:suff w:val="nothing"/>
      <w:lvlText w:val="%1、"/>
      <w:lvlJc w:val="left"/>
      <w:rPr>
        <w:rFonts w:hint="eastAsia"/>
      </w:rPr>
    </w:lvl>
  </w:abstractNum>
  <w:abstractNum w:abstractNumId="7">
    <w:nsid w:val="19B7EC2C"/>
    <w:multiLevelType w:val="singleLevel"/>
    <w:tmpl w:val="19B7EC2C"/>
    <w:lvl w:ilvl="0" w:tentative="0">
      <w:start w:val="1"/>
      <w:numFmt w:val="decimal"/>
      <w:lvlText w:val="%1."/>
      <w:lvlJc w:val="left"/>
      <w:pPr>
        <w:tabs>
          <w:tab w:val="left" w:pos="312"/>
        </w:tabs>
      </w:pPr>
    </w:lvl>
  </w:abstractNum>
  <w:abstractNum w:abstractNumId="8">
    <w:nsid w:val="359BECF5"/>
    <w:multiLevelType w:val="singleLevel"/>
    <w:tmpl w:val="359BECF5"/>
    <w:lvl w:ilvl="0" w:tentative="0">
      <w:start w:val="3"/>
      <w:numFmt w:val="chineseCounting"/>
      <w:suff w:val="nothing"/>
      <w:lvlText w:val="%1、"/>
      <w:lvlJc w:val="left"/>
      <w:rPr>
        <w:rFonts w:hint="eastAsia"/>
      </w:rPr>
    </w:lvl>
  </w:abstractNum>
  <w:num w:numId="1">
    <w:abstractNumId w:val="6"/>
  </w:num>
  <w:num w:numId="2">
    <w:abstractNumId w:val="4"/>
  </w:num>
  <w:num w:numId="3">
    <w:abstractNumId w:val="7"/>
  </w:num>
  <w:num w:numId="4">
    <w:abstractNumId w:val="1"/>
  </w:num>
  <w:num w:numId="5">
    <w:abstractNumId w:val="3"/>
  </w:num>
  <w:num w:numId="6">
    <w:abstractNumId w:val="2"/>
  </w:num>
  <w:num w:numId="7">
    <w:abstractNumId w:val="0"/>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6E54"/>
    <w:rsid w:val="001F7506"/>
    <w:rsid w:val="002006CD"/>
    <w:rsid w:val="00202B36"/>
    <w:rsid w:val="00204B7A"/>
    <w:rsid w:val="00204CDE"/>
    <w:rsid w:val="0021101A"/>
    <w:rsid w:val="00220536"/>
    <w:rsid w:val="00235629"/>
    <w:rsid w:val="00247343"/>
    <w:rsid w:val="00260C38"/>
    <w:rsid w:val="002616C0"/>
    <w:rsid w:val="00265372"/>
    <w:rsid w:val="002662AA"/>
    <w:rsid w:val="00280496"/>
    <w:rsid w:val="00294DC9"/>
    <w:rsid w:val="00295495"/>
    <w:rsid w:val="002A31DE"/>
    <w:rsid w:val="002B2613"/>
    <w:rsid w:val="002D6D05"/>
    <w:rsid w:val="002F1818"/>
    <w:rsid w:val="002F567B"/>
    <w:rsid w:val="003216A9"/>
    <w:rsid w:val="003357D8"/>
    <w:rsid w:val="00335A74"/>
    <w:rsid w:val="0036561B"/>
    <w:rsid w:val="0036627C"/>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138C"/>
    <w:rsid w:val="008E0C6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483"/>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06C6"/>
    <w:rsid w:val="00B425E0"/>
    <w:rsid w:val="00B440AA"/>
    <w:rsid w:val="00B44B70"/>
    <w:rsid w:val="00B53C56"/>
    <w:rsid w:val="00B57DAF"/>
    <w:rsid w:val="00B77EA6"/>
    <w:rsid w:val="00B81598"/>
    <w:rsid w:val="00B841F1"/>
    <w:rsid w:val="00B9218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12AA"/>
    <w:rsid w:val="00EB1C0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43310"/>
    <w:rsid w:val="015975B8"/>
    <w:rsid w:val="018E7169"/>
    <w:rsid w:val="018F2EE2"/>
    <w:rsid w:val="01934780"/>
    <w:rsid w:val="019404F8"/>
    <w:rsid w:val="01993D60"/>
    <w:rsid w:val="021358C1"/>
    <w:rsid w:val="02143E91"/>
    <w:rsid w:val="021F7DC1"/>
    <w:rsid w:val="022B0E5C"/>
    <w:rsid w:val="022C6982"/>
    <w:rsid w:val="02902A6D"/>
    <w:rsid w:val="029167E5"/>
    <w:rsid w:val="02D212D8"/>
    <w:rsid w:val="02D74B40"/>
    <w:rsid w:val="02DA018C"/>
    <w:rsid w:val="02EB4148"/>
    <w:rsid w:val="02FE20CD"/>
    <w:rsid w:val="038F71C9"/>
    <w:rsid w:val="03920A67"/>
    <w:rsid w:val="03F11C32"/>
    <w:rsid w:val="04206073"/>
    <w:rsid w:val="042A0CA0"/>
    <w:rsid w:val="042C2C6A"/>
    <w:rsid w:val="04441D61"/>
    <w:rsid w:val="0462668B"/>
    <w:rsid w:val="049A4077"/>
    <w:rsid w:val="04A70542"/>
    <w:rsid w:val="04B62533"/>
    <w:rsid w:val="052971A9"/>
    <w:rsid w:val="05445D91"/>
    <w:rsid w:val="05726DA2"/>
    <w:rsid w:val="05B42F17"/>
    <w:rsid w:val="05D13AC9"/>
    <w:rsid w:val="05F9301F"/>
    <w:rsid w:val="060A2B37"/>
    <w:rsid w:val="064424ED"/>
    <w:rsid w:val="065B5A88"/>
    <w:rsid w:val="066E0107"/>
    <w:rsid w:val="06734B80"/>
    <w:rsid w:val="0680104B"/>
    <w:rsid w:val="06A8066E"/>
    <w:rsid w:val="06C54CB0"/>
    <w:rsid w:val="06CC603E"/>
    <w:rsid w:val="06CE625A"/>
    <w:rsid w:val="06E952F0"/>
    <w:rsid w:val="06EC048E"/>
    <w:rsid w:val="07506C6F"/>
    <w:rsid w:val="078556F2"/>
    <w:rsid w:val="078B7CA7"/>
    <w:rsid w:val="07996F6E"/>
    <w:rsid w:val="07A34FF1"/>
    <w:rsid w:val="07B05960"/>
    <w:rsid w:val="07CB64B9"/>
    <w:rsid w:val="08055CAB"/>
    <w:rsid w:val="080737D2"/>
    <w:rsid w:val="081128A2"/>
    <w:rsid w:val="08332819"/>
    <w:rsid w:val="083D5445"/>
    <w:rsid w:val="09212671"/>
    <w:rsid w:val="093C74AB"/>
    <w:rsid w:val="09773B45"/>
    <w:rsid w:val="09AC5082"/>
    <w:rsid w:val="09B434E5"/>
    <w:rsid w:val="09C474A0"/>
    <w:rsid w:val="09F70366"/>
    <w:rsid w:val="0A1977EC"/>
    <w:rsid w:val="0A2032A3"/>
    <w:rsid w:val="0A2E6EC1"/>
    <w:rsid w:val="0A59408D"/>
    <w:rsid w:val="0A960E3D"/>
    <w:rsid w:val="0AA23C86"/>
    <w:rsid w:val="0AB15C77"/>
    <w:rsid w:val="0AB70768"/>
    <w:rsid w:val="0AB8072D"/>
    <w:rsid w:val="0AFA13CC"/>
    <w:rsid w:val="0B100BEF"/>
    <w:rsid w:val="0B534F80"/>
    <w:rsid w:val="0B6947A3"/>
    <w:rsid w:val="0BDE2A9B"/>
    <w:rsid w:val="0BE61D6A"/>
    <w:rsid w:val="0C160487"/>
    <w:rsid w:val="0C264442"/>
    <w:rsid w:val="0C28640C"/>
    <w:rsid w:val="0C3C3C66"/>
    <w:rsid w:val="0C48260B"/>
    <w:rsid w:val="0C5D60B6"/>
    <w:rsid w:val="0C7156BE"/>
    <w:rsid w:val="0CA05FA3"/>
    <w:rsid w:val="0CBB4B8B"/>
    <w:rsid w:val="0CD345CA"/>
    <w:rsid w:val="0D044784"/>
    <w:rsid w:val="0D1C7D1F"/>
    <w:rsid w:val="0D6276FC"/>
    <w:rsid w:val="0D7D4536"/>
    <w:rsid w:val="0DC108C7"/>
    <w:rsid w:val="0DF30354"/>
    <w:rsid w:val="0E482A4A"/>
    <w:rsid w:val="0E545297"/>
    <w:rsid w:val="0E572FD9"/>
    <w:rsid w:val="0EA24254"/>
    <w:rsid w:val="0EB2020F"/>
    <w:rsid w:val="0EB43F87"/>
    <w:rsid w:val="0F040A6B"/>
    <w:rsid w:val="0F1862C4"/>
    <w:rsid w:val="0F20786F"/>
    <w:rsid w:val="0F225395"/>
    <w:rsid w:val="0F423341"/>
    <w:rsid w:val="0F4E618A"/>
    <w:rsid w:val="0F503CB0"/>
    <w:rsid w:val="0F6634D4"/>
    <w:rsid w:val="0F98263C"/>
    <w:rsid w:val="0FA4224E"/>
    <w:rsid w:val="101860EC"/>
    <w:rsid w:val="10305890"/>
    <w:rsid w:val="1065378B"/>
    <w:rsid w:val="107734BE"/>
    <w:rsid w:val="10B244F7"/>
    <w:rsid w:val="10C055FF"/>
    <w:rsid w:val="10FE598E"/>
    <w:rsid w:val="1102722C"/>
    <w:rsid w:val="116C0B49"/>
    <w:rsid w:val="118107EC"/>
    <w:rsid w:val="11A227BD"/>
    <w:rsid w:val="11C269BB"/>
    <w:rsid w:val="11D81D3B"/>
    <w:rsid w:val="11E14E6A"/>
    <w:rsid w:val="120A5DA9"/>
    <w:rsid w:val="120D5E88"/>
    <w:rsid w:val="12412F69"/>
    <w:rsid w:val="124318AA"/>
    <w:rsid w:val="126366EB"/>
    <w:rsid w:val="12696E37"/>
    <w:rsid w:val="12A3059B"/>
    <w:rsid w:val="12A32349"/>
    <w:rsid w:val="12D22C2E"/>
    <w:rsid w:val="12E12E71"/>
    <w:rsid w:val="131D659F"/>
    <w:rsid w:val="133236CD"/>
    <w:rsid w:val="13727EBE"/>
    <w:rsid w:val="13963C5C"/>
    <w:rsid w:val="1396715A"/>
    <w:rsid w:val="13A24CF6"/>
    <w:rsid w:val="13CE1647"/>
    <w:rsid w:val="13D50BC4"/>
    <w:rsid w:val="13F207F7"/>
    <w:rsid w:val="13F35552"/>
    <w:rsid w:val="14515DD5"/>
    <w:rsid w:val="14587163"/>
    <w:rsid w:val="14A16D5C"/>
    <w:rsid w:val="14A34313"/>
    <w:rsid w:val="14AA20B4"/>
    <w:rsid w:val="14BA7E1E"/>
    <w:rsid w:val="14C91E0F"/>
    <w:rsid w:val="14E37374"/>
    <w:rsid w:val="14F75772"/>
    <w:rsid w:val="15282FD9"/>
    <w:rsid w:val="15453B8B"/>
    <w:rsid w:val="15485429"/>
    <w:rsid w:val="15534305"/>
    <w:rsid w:val="158A5A42"/>
    <w:rsid w:val="15E541D9"/>
    <w:rsid w:val="15FA2BC8"/>
    <w:rsid w:val="15FD4466"/>
    <w:rsid w:val="16094BB9"/>
    <w:rsid w:val="161377E5"/>
    <w:rsid w:val="161F262E"/>
    <w:rsid w:val="16442095"/>
    <w:rsid w:val="164A206A"/>
    <w:rsid w:val="16A6065A"/>
    <w:rsid w:val="16BB723D"/>
    <w:rsid w:val="16F92E7F"/>
    <w:rsid w:val="17233A58"/>
    <w:rsid w:val="174F0CF1"/>
    <w:rsid w:val="1767428D"/>
    <w:rsid w:val="1796247C"/>
    <w:rsid w:val="17A032FB"/>
    <w:rsid w:val="17C27715"/>
    <w:rsid w:val="17D2722C"/>
    <w:rsid w:val="17D82A95"/>
    <w:rsid w:val="17D86098"/>
    <w:rsid w:val="182E6B59"/>
    <w:rsid w:val="1844637C"/>
    <w:rsid w:val="18707171"/>
    <w:rsid w:val="18714C97"/>
    <w:rsid w:val="18754787"/>
    <w:rsid w:val="188B7B07"/>
    <w:rsid w:val="189746FE"/>
    <w:rsid w:val="189A41EE"/>
    <w:rsid w:val="18ED07C2"/>
    <w:rsid w:val="19045B0B"/>
    <w:rsid w:val="190478B9"/>
    <w:rsid w:val="191E6BCD"/>
    <w:rsid w:val="195425EF"/>
    <w:rsid w:val="195E346D"/>
    <w:rsid w:val="19704F4F"/>
    <w:rsid w:val="19706CFD"/>
    <w:rsid w:val="19831126"/>
    <w:rsid w:val="198C1D89"/>
    <w:rsid w:val="19A075E2"/>
    <w:rsid w:val="19C77265"/>
    <w:rsid w:val="1A07140F"/>
    <w:rsid w:val="1A330456"/>
    <w:rsid w:val="1A420699"/>
    <w:rsid w:val="1A497C7A"/>
    <w:rsid w:val="1A6745A4"/>
    <w:rsid w:val="1A9D69B7"/>
    <w:rsid w:val="1ADA6B24"/>
    <w:rsid w:val="1B0E4A1F"/>
    <w:rsid w:val="1B281F85"/>
    <w:rsid w:val="1B440441"/>
    <w:rsid w:val="1B4D5548"/>
    <w:rsid w:val="1B5F527B"/>
    <w:rsid w:val="1B8748BF"/>
    <w:rsid w:val="1BA535D6"/>
    <w:rsid w:val="1BDD4B1E"/>
    <w:rsid w:val="1BE8440E"/>
    <w:rsid w:val="1C2C1601"/>
    <w:rsid w:val="1CE65C54"/>
    <w:rsid w:val="1CFD4D4B"/>
    <w:rsid w:val="1D155CEE"/>
    <w:rsid w:val="1D2D73DF"/>
    <w:rsid w:val="1D2E3157"/>
    <w:rsid w:val="1D3249F5"/>
    <w:rsid w:val="1D792624"/>
    <w:rsid w:val="1DA17DCD"/>
    <w:rsid w:val="1DA5166B"/>
    <w:rsid w:val="1DB16262"/>
    <w:rsid w:val="1DBA49EB"/>
    <w:rsid w:val="1DC31AF1"/>
    <w:rsid w:val="1DDB32DF"/>
    <w:rsid w:val="1E0740D4"/>
    <w:rsid w:val="1E2527AC"/>
    <w:rsid w:val="1E256308"/>
    <w:rsid w:val="1E320A25"/>
    <w:rsid w:val="1E4470D6"/>
    <w:rsid w:val="1E51534F"/>
    <w:rsid w:val="1E6B18D1"/>
    <w:rsid w:val="1E786D7F"/>
    <w:rsid w:val="1E803E86"/>
    <w:rsid w:val="1EA62707"/>
    <w:rsid w:val="1EC75611"/>
    <w:rsid w:val="1EDD4E34"/>
    <w:rsid w:val="1EDF6DFF"/>
    <w:rsid w:val="1EF829C9"/>
    <w:rsid w:val="1F3053EF"/>
    <w:rsid w:val="1F486752"/>
    <w:rsid w:val="1F49134A"/>
    <w:rsid w:val="1F5A6485"/>
    <w:rsid w:val="1F882FF2"/>
    <w:rsid w:val="1FCA53B9"/>
    <w:rsid w:val="1FDC6E9A"/>
    <w:rsid w:val="1FEA5A5B"/>
    <w:rsid w:val="1FEF3071"/>
    <w:rsid w:val="1FF35744"/>
    <w:rsid w:val="202066EB"/>
    <w:rsid w:val="2059498F"/>
    <w:rsid w:val="205B24B5"/>
    <w:rsid w:val="20803CC9"/>
    <w:rsid w:val="20A83220"/>
    <w:rsid w:val="20FE3A5D"/>
    <w:rsid w:val="2149055F"/>
    <w:rsid w:val="21502035"/>
    <w:rsid w:val="21635AC5"/>
    <w:rsid w:val="2197576F"/>
    <w:rsid w:val="21B87493"/>
    <w:rsid w:val="21C66054"/>
    <w:rsid w:val="226D64CF"/>
    <w:rsid w:val="22714212"/>
    <w:rsid w:val="227B0BEC"/>
    <w:rsid w:val="228F28EA"/>
    <w:rsid w:val="22C34341"/>
    <w:rsid w:val="22C500B9"/>
    <w:rsid w:val="231A0405"/>
    <w:rsid w:val="232474D6"/>
    <w:rsid w:val="23356FED"/>
    <w:rsid w:val="234611FA"/>
    <w:rsid w:val="23490CEA"/>
    <w:rsid w:val="234C2589"/>
    <w:rsid w:val="235A6A54"/>
    <w:rsid w:val="23860B96"/>
    <w:rsid w:val="23971A56"/>
    <w:rsid w:val="23A3664D"/>
    <w:rsid w:val="23CB5BA3"/>
    <w:rsid w:val="23E34C9B"/>
    <w:rsid w:val="23EE0D5E"/>
    <w:rsid w:val="23F52C20"/>
    <w:rsid w:val="23F8626D"/>
    <w:rsid w:val="240371BF"/>
    <w:rsid w:val="243A6885"/>
    <w:rsid w:val="2466767A"/>
    <w:rsid w:val="2480698E"/>
    <w:rsid w:val="249B0E74"/>
    <w:rsid w:val="24B403E6"/>
    <w:rsid w:val="250D7AF6"/>
    <w:rsid w:val="2540611D"/>
    <w:rsid w:val="254C061E"/>
    <w:rsid w:val="25861D82"/>
    <w:rsid w:val="25983863"/>
    <w:rsid w:val="25AE3087"/>
    <w:rsid w:val="25D54AB7"/>
    <w:rsid w:val="25ED0053"/>
    <w:rsid w:val="25EE5B79"/>
    <w:rsid w:val="260333D3"/>
    <w:rsid w:val="263B7010"/>
    <w:rsid w:val="2650413E"/>
    <w:rsid w:val="26516FF8"/>
    <w:rsid w:val="265951C3"/>
    <w:rsid w:val="2670658E"/>
    <w:rsid w:val="26793695"/>
    <w:rsid w:val="269009DE"/>
    <w:rsid w:val="26926505"/>
    <w:rsid w:val="26A85D28"/>
    <w:rsid w:val="26B24DF9"/>
    <w:rsid w:val="26CF59AB"/>
    <w:rsid w:val="26E11A69"/>
    <w:rsid w:val="270513CC"/>
    <w:rsid w:val="27A04C51"/>
    <w:rsid w:val="27A75FE0"/>
    <w:rsid w:val="27C76682"/>
    <w:rsid w:val="27F31225"/>
    <w:rsid w:val="27F5045E"/>
    <w:rsid w:val="283755B5"/>
    <w:rsid w:val="28773C04"/>
    <w:rsid w:val="28844573"/>
    <w:rsid w:val="288D3427"/>
    <w:rsid w:val="28A16ED3"/>
    <w:rsid w:val="28E819D7"/>
    <w:rsid w:val="28E84B02"/>
    <w:rsid w:val="290C07F0"/>
    <w:rsid w:val="29332221"/>
    <w:rsid w:val="294D2BB7"/>
    <w:rsid w:val="29634188"/>
    <w:rsid w:val="296A3769"/>
    <w:rsid w:val="29A44ECD"/>
    <w:rsid w:val="29AF561F"/>
    <w:rsid w:val="29DA08EE"/>
    <w:rsid w:val="29F94235"/>
    <w:rsid w:val="29FD04D3"/>
    <w:rsid w:val="2A1A0CEB"/>
    <w:rsid w:val="2A225DF1"/>
    <w:rsid w:val="2A587A65"/>
    <w:rsid w:val="2A5E151F"/>
    <w:rsid w:val="2A900FAD"/>
    <w:rsid w:val="2A950CB9"/>
    <w:rsid w:val="2AB033FD"/>
    <w:rsid w:val="2ABF7AE4"/>
    <w:rsid w:val="2B261911"/>
    <w:rsid w:val="2B2A7653"/>
    <w:rsid w:val="2B2D4A4E"/>
    <w:rsid w:val="2B2F07C6"/>
    <w:rsid w:val="2B42499D"/>
    <w:rsid w:val="2B51698E"/>
    <w:rsid w:val="2B8D373E"/>
    <w:rsid w:val="2BAC0068"/>
    <w:rsid w:val="2BDB6BA0"/>
    <w:rsid w:val="2BE47802"/>
    <w:rsid w:val="2C334906"/>
    <w:rsid w:val="2C6B1CD2"/>
    <w:rsid w:val="2C723060"/>
    <w:rsid w:val="2C8A61B5"/>
    <w:rsid w:val="2C9065C9"/>
    <w:rsid w:val="2CA60F5C"/>
    <w:rsid w:val="2CAA33C6"/>
    <w:rsid w:val="2CD23AFF"/>
    <w:rsid w:val="2CD51841"/>
    <w:rsid w:val="2D4B705C"/>
    <w:rsid w:val="2D863EDD"/>
    <w:rsid w:val="2DC84F02"/>
    <w:rsid w:val="2DCA0C7A"/>
    <w:rsid w:val="2DF04E50"/>
    <w:rsid w:val="2E051CB2"/>
    <w:rsid w:val="2E053A60"/>
    <w:rsid w:val="2E1667C1"/>
    <w:rsid w:val="2E1B7727"/>
    <w:rsid w:val="2E314855"/>
    <w:rsid w:val="2E4B3B69"/>
    <w:rsid w:val="2E8E614B"/>
    <w:rsid w:val="2EBD258D"/>
    <w:rsid w:val="2EC27BA3"/>
    <w:rsid w:val="2ED35D6D"/>
    <w:rsid w:val="2EDC2A13"/>
    <w:rsid w:val="2EF20488"/>
    <w:rsid w:val="2F040D46"/>
    <w:rsid w:val="2F5F53F2"/>
    <w:rsid w:val="2F745341"/>
    <w:rsid w:val="2F950E14"/>
    <w:rsid w:val="2FC5794B"/>
    <w:rsid w:val="2FF10740"/>
    <w:rsid w:val="2FF40230"/>
    <w:rsid w:val="302A1EA4"/>
    <w:rsid w:val="303074BA"/>
    <w:rsid w:val="30332B06"/>
    <w:rsid w:val="309117EF"/>
    <w:rsid w:val="30B023A9"/>
    <w:rsid w:val="30B55C11"/>
    <w:rsid w:val="30C6397A"/>
    <w:rsid w:val="30E402A4"/>
    <w:rsid w:val="30E87D95"/>
    <w:rsid w:val="30FD34B3"/>
    <w:rsid w:val="311566B0"/>
    <w:rsid w:val="311E37B6"/>
    <w:rsid w:val="3139239E"/>
    <w:rsid w:val="31605B7D"/>
    <w:rsid w:val="317653A0"/>
    <w:rsid w:val="317909ED"/>
    <w:rsid w:val="31796C3F"/>
    <w:rsid w:val="319F7F4E"/>
    <w:rsid w:val="31E542D4"/>
    <w:rsid w:val="31F2079F"/>
    <w:rsid w:val="320E25A5"/>
    <w:rsid w:val="321B5F48"/>
    <w:rsid w:val="32333292"/>
    <w:rsid w:val="324C6101"/>
    <w:rsid w:val="3268280F"/>
    <w:rsid w:val="32AC3044"/>
    <w:rsid w:val="32F26CA9"/>
    <w:rsid w:val="3304709D"/>
    <w:rsid w:val="334943EF"/>
    <w:rsid w:val="33576B0C"/>
    <w:rsid w:val="337C30AF"/>
    <w:rsid w:val="33811DDB"/>
    <w:rsid w:val="33B65F28"/>
    <w:rsid w:val="340D18C0"/>
    <w:rsid w:val="342D3D10"/>
    <w:rsid w:val="349D0E96"/>
    <w:rsid w:val="349E076A"/>
    <w:rsid w:val="34FA0097"/>
    <w:rsid w:val="35170C48"/>
    <w:rsid w:val="352E5F92"/>
    <w:rsid w:val="355A0B35"/>
    <w:rsid w:val="356279EA"/>
    <w:rsid w:val="357D4824"/>
    <w:rsid w:val="358362DE"/>
    <w:rsid w:val="36032F7B"/>
    <w:rsid w:val="36160F00"/>
    <w:rsid w:val="3656754F"/>
    <w:rsid w:val="36AA5135"/>
    <w:rsid w:val="36BC2315"/>
    <w:rsid w:val="36D36DF1"/>
    <w:rsid w:val="36E20DE2"/>
    <w:rsid w:val="37103BA1"/>
    <w:rsid w:val="37343B7A"/>
    <w:rsid w:val="373A29CC"/>
    <w:rsid w:val="3747333B"/>
    <w:rsid w:val="374D6BA3"/>
    <w:rsid w:val="376D39B2"/>
    <w:rsid w:val="37735EDE"/>
    <w:rsid w:val="377E6681"/>
    <w:rsid w:val="37AC319E"/>
    <w:rsid w:val="37AF33BA"/>
    <w:rsid w:val="37B7226F"/>
    <w:rsid w:val="37C14E9C"/>
    <w:rsid w:val="37CE1367"/>
    <w:rsid w:val="37D03331"/>
    <w:rsid w:val="37E16F03"/>
    <w:rsid w:val="37F708BD"/>
    <w:rsid w:val="38003C16"/>
    <w:rsid w:val="38033706"/>
    <w:rsid w:val="38305B7D"/>
    <w:rsid w:val="384F24A7"/>
    <w:rsid w:val="38514471"/>
    <w:rsid w:val="38561A88"/>
    <w:rsid w:val="38710670"/>
    <w:rsid w:val="38934A8A"/>
    <w:rsid w:val="38B92017"/>
    <w:rsid w:val="38CB459A"/>
    <w:rsid w:val="38D469F0"/>
    <w:rsid w:val="394538AA"/>
    <w:rsid w:val="394C6D65"/>
    <w:rsid w:val="397A79F8"/>
    <w:rsid w:val="39E62997"/>
    <w:rsid w:val="3A4D6EBA"/>
    <w:rsid w:val="3A751F6D"/>
    <w:rsid w:val="3A7A7584"/>
    <w:rsid w:val="3A7C154E"/>
    <w:rsid w:val="3AC86541"/>
    <w:rsid w:val="3B023801"/>
    <w:rsid w:val="3B0954D1"/>
    <w:rsid w:val="3B2A2D58"/>
    <w:rsid w:val="3B2A71FC"/>
    <w:rsid w:val="3B2F036E"/>
    <w:rsid w:val="3B3D2A8B"/>
    <w:rsid w:val="3B3D6F2F"/>
    <w:rsid w:val="3B5F50F7"/>
    <w:rsid w:val="3B783AC3"/>
    <w:rsid w:val="3BCE7B87"/>
    <w:rsid w:val="3BEE1FD7"/>
    <w:rsid w:val="3BF21AC7"/>
    <w:rsid w:val="3C011D0B"/>
    <w:rsid w:val="3C115859"/>
    <w:rsid w:val="3C2105FF"/>
    <w:rsid w:val="3C30439E"/>
    <w:rsid w:val="3C3C0F95"/>
    <w:rsid w:val="3C4816E7"/>
    <w:rsid w:val="3C5462DE"/>
    <w:rsid w:val="3CB43221"/>
    <w:rsid w:val="3CDB255C"/>
    <w:rsid w:val="3CE37662"/>
    <w:rsid w:val="3D156993"/>
    <w:rsid w:val="3D3B56F0"/>
    <w:rsid w:val="3D436353"/>
    <w:rsid w:val="3D94095C"/>
    <w:rsid w:val="3D98207C"/>
    <w:rsid w:val="3DF31B27"/>
    <w:rsid w:val="3E1D0952"/>
    <w:rsid w:val="3E78745D"/>
    <w:rsid w:val="3E8310FD"/>
    <w:rsid w:val="3EAD617A"/>
    <w:rsid w:val="3EB43064"/>
    <w:rsid w:val="3EC05EAD"/>
    <w:rsid w:val="3EF172A5"/>
    <w:rsid w:val="3EF21DDE"/>
    <w:rsid w:val="3F0F473E"/>
    <w:rsid w:val="3F3441A5"/>
    <w:rsid w:val="3F4F7231"/>
    <w:rsid w:val="3F710F55"/>
    <w:rsid w:val="3F7A2500"/>
    <w:rsid w:val="3F8A2017"/>
    <w:rsid w:val="3FB05F21"/>
    <w:rsid w:val="3FB377C0"/>
    <w:rsid w:val="3FB84DD6"/>
    <w:rsid w:val="3FEF631E"/>
    <w:rsid w:val="40095632"/>
    <w:rsid w:val="401D732F"/>
    <w:rsid w:val="40442B0E"/>
    <w:rsid w:val="405745EF"/>
    <w:rsid w:val="4070745F"/>
    <w:rsid w:val="40925627"/>
    <w:rsid w:val="40A315E2"/>
    <w:rsid w:val="40A4535A"/>
    <w:rsid w:val="414D154E"/>
    <w:rsid w:val="41923405"/>
    <w:rsid w:val="41A575DC"/>
    <w:rsid w:val="41AD023F"/>
    <w:rsid w:val="41C537DA"/>
    <w:rsid w:val="41DE4D1B"/>
    <w:rsid w:val="41E225DE"/>
    <w:rsid w:val="424B3CDF"/>
    <w:rsid w:val="425F778B"/>
    <w:rsid w:val="429531AD"/>
    <w:rsid w:val="42B0401C"/>
    <w:rsid w:val="430345BA"/>
    <w:rsid w:val="432602A9"/>
    <w:rsid w:val="434B7D0F"/>
    <w:rsid w:val="434F77FF"/>
    <w:rsid w:val="43574906"/>
    <w:rsid w:val="436808C1"/>
    <w:rsid w:val="436A288B"/>
    <w:rsid w:val="437454B8"/>
    <w:rsid w:val="43875C09"/>
    <w:rsid w:val="438C0A54"/>
    <w:rsid w:val="439416B6"/>
    <w:rsid w:val="43AD2D63"/>
    <w:rsid w:val="43C27FD1"/>
    <w:rsid w:val="43E443EC"/>
    <w:rsid w:val="43EF4B3E"/>
    <w:rsid w:val="43F16B09"/>
    <w:rsid w:val="444E3F5B"/>
    <w:rsid w:val="4450382F"/>
    <w:rsid w:val="44AE0556"/>
    <w:rsid w:val="44D72F6D"/>
    <w:rsid w:val="44E268DA"/>
    <w:rsid w:val="44E328F5"/>
    <w:rsid w:val="44F93EC7"/>
    <w:rsid w:val="44FE14DD"/>
    <w:rsid w:val="45090FCA"/>
    <w:rsid w:val="450B59A8"/>
    <w:rsid w:val="452B604A"/>
    <w:rsid w:val="4545710C"/>
    <w:rsid w:val="45521829"/>
    <w:rsid w:val="456926CF"/>
    <w:rsid w:val="45A73923"/>
    <w:rsid w:val="45C269AF"/>
    <w:rsid w:val="45CC15DB"/>
    <w:rsid w:val="45D87F80"/>
    <w:rsid w:val="460F3276"/>
    <w:rsid w:val="461055A4"/>
    <w:rsid w:val="462211FB"/>
    <w:rsid w:val="462C3E28"/>
    <w:rsid w:val="464A2F01"/>
    <w:rsid w:val="4670640B"/>
    <w:rsid w:val="468A0B4E"/>
    <w:rsid w:val="4698770F"/>
    <w:rsid w:val="47170634"/>
    <w:rsid w:val="473311E6"/>
    <w:rsid w:val="47372A84"/>
    <w:rsid w:val="477535AD"/>
    <w:rsid w:val="478D6B48"/>
    <w:rsid w:val="47D6229D"/>
    <w:rsid w:val="47DB3D58"/>
    <w:rsid w:val="47DC187E"/>
    <w:rsid w:val="480424E5"/>
    <w:rsid w:val="481B4154"/>
    <w:rsid w:val="48590745"/>
    <w:rsid w:val="489108BA"/>
    <w:rsid w:val="48B84099"/>
    <w:rsid w:val="4901159C"/>
    <w:rsid w:val="49080B7C"/>
    <w:rsid w:val="49301E81"/>
    <w:rsid w:val="49496A9F"/>
    <w:rsid w:val="49507E2D"/>
    <w:rsid w:val="49706721"/>
    <w:rsid w:val="49DE604E"/>
    <w:rsid w:val="49F11610"/>
    <w:rsid w:val="4A1C41B3"/>
    <w:rsid w:val="4A2B43F6"/>
    <w:rsid w:val="4A404346"/>
    <w:rsid w:val="4A525E27"/>
    <w:rsid w:val="4A5E657A"/>
    <w:rsid w:val="4A6242BC"/>
    <w:rsid w:val="4A627F82"/>
    <w:rsid w:val="4A857FAB"/>
    <w:rsid w:val="4A9D70A2"/>
    <w:rsid w:val="4AAC00B0"/>
    <w:rsid w:val="4ABB1C1E"/>
    <w:rsid w:val="4ABD5996"/>
    <w:rsid w:val="4ACA3C0F"/>
    <w:rsid w:val="4B0E749A"/>
    <w:rsid w:val="4B2E419E"/>
    <w:rsid w:val="4B4F25DA"/>
    <w:rsid w:val="4BE068DB"/>
    <w:rsid w:val="4C1A4723"/>
    <w:rsid w:val="4C451A6E"/>
    <w:rsid w:val="4C5C2F8D"/>
    <w:rsid w:val="4C9D782D"/>
    <w:rsid w:val="4D0C49B3"/>
    <w:rsid w:val="4D1A70D0"/>
    <w:rsid w:val="4D2E66D8"/>
    <w:rsid w:val="4D344DD8"/>
    <w:rsid w:val="4D577224"/>
    <w:rsid w:val="4D7F5185"/>
    <w:rsid w:val="4D926C66"/>
    <w:rsid w:val="4D986247"/>
    <w:rsid w:val="4D9C1893"/>
    <w:rsid w:val="4DD51249"/>
    <w:rsid w:val="4DF72F6D"/>
    <w:rsid w:val="4E141D71"/>
    <w:rsid w:val="4E434405"/>
    <w:rsid w:val="4E5E123E"/>
    <w:rsid w:val="4E683E6B"/>
    <w:rsid w:val="4EAB630A"/>
    <w:rsid w:val="4EBC7D13"/>
    <w:rsid w:val="4EBE7F2F"/>
    <w:rsid w:val="4ECE2238"/>
    <w:rsid w:val="4F133DD7"/>
    <w:rsid w:val="4F231B40"/>
    <w:rsid w:val="4F642884"/>
    <w:rsid w:val="4F824AB9"/>
    <w:rsid w:val="4F860A4D"/>
    <w:rsid w:val="4FA9473B"/>
    <w:rsid w:val="4FCB6460"/>
    <w:rsid w:val="4FCC21D8"/>
    <w:rsid w:val="4FCE7CFE"/>
    <w:rsid w:val="4FDD43E5"/>
    <w:rsid w:val="500B2D00"/>
    <w:rsid w:val="501D1400"/>
    <w:rsid w:val="504601DC"/>
    <w:rsid w:val="50856264"/>
    <w:rsid w:val="509C604E"/>
    <w:rsid w:val="50AF5D81"/>
    <w:rsid w:val="50B769E4"/>
    <w:rsid w:val="50BE7D72"/>
    <w:rsid w:val="510D4856"/>
    <w:rsid w:val="515F1555"/>
    <w:rsid w:val="516A3A56"/>
    <w:rsid w:val="51C55131"/>
    <w:rsid w:val="51DA5080"/>
    <w:rsid w:val="51F24178"/>
    <w:rsid w:val="5221680B"/>
    <w:rsid w:val="525A7F6F"/>
    <w:rsid w:val="528B0128"/>
    <w:rsid w:val="52DB10B0"/>
    <w:rsid w:val="52E02222"/>
    <w:rsid w:val="52F263F9"/>
    <w:rsid w:val="53146370"/>
    <w:rsid w:val="53285977"/>
    <w:rsid w:val="53364538"/>
    <w:rsid w:val="5338205E"/>
    <w:rsid w:val="533D58C6"/>
    <w:rsid w:val="53514ECE"/>
    <w:rsid w:val="537E6D0A"/>
    <w:rsid w:val="53852DC9"/>
    <w:rsid w:val="539A6875"/>
    <w:rsid w:val="53BD2563"/>
    <w:rsid w:val="53C75190"/>
    <w:rsid w:val="53C93A81"/>
    <w:rsid w:val="541A1764"/>
    <w:rsid w:val="54422A68"/>
    <w:rsid w:val="545C7FCE"/>
    <w:rsid w:val="54666427"/>
    <w:rsid w:val="547277F2"/>
    <w:rsid w:val="5488491F"/>
    <w:rsid w:val="54A159E1"/>
    <w:rsid w:val="54B35714"/>
    <w:rsid w:val="54B576DE"/>
    <w:rsid w:val="54ED0C26"/>
    <w:rsid w:val="55050666"/>
    <w:rsid w:val="5520724E"/>
    <w:rsid w:val="55342CF9"/>
    <w:rsid w:val="554F7B33"/>
    <w:rsid w:val="55782BE6"/>
    <w:rsid w:val="558F6181"/>
    <w:rsid w:val="55A27C63"/>
    <w:rsid w:val="55B17EA6"/>
    <w:rsid w:val="55BF6A67"/>
    <w:rsid w:val="55CC2F32"/>
    <w:rsid w:val="55FA184D"/>
    <w:rsid w:val="56130B60"/>
    <w:rsid w:val="56222B52"/>
    <w:rsid w:val="56701B0F"/>
    <w:rsid w:val="56903F5F"/>
    <w:rsid w:val="56AF0D32"/>
    <w:rsid w:val="56E36785"/>
    <w:rsid w:val="56F40992"/>
    <w:rsid w:val="5717642E"/>
    <w:rsid w:val="57376AD1"/>
    <w:rsid w:val="574014E1"/>
    <w:rsid w:val="579B12CF"/>
    <w:rsid w:val="57A777B2"/>
    <w:rsid w:val="57B41ECF"/>
    <w:rsid w:val="57B974E6"/>
    <w:rsid w:val="57C32112"/>
    <w:rsid w:val="57DB745C"/>
    <w:rsid w:val="57EA58F1"/>
    <w:rsid w:val="57F64296"/>
    <w:rsid w:val="57FE314A"/>
    <w:rsid w:val="58090325"/>
    <w:rsid w:val="581A61D6"/>
    <w:rsid w:val="581D7A74"/>
    <w:rsid w:val="583A6878"/>
    <w:rsid w:val="58515970"/>
    <w:rsid w:val="5851771E"/>
    <w:rsid w:val="587F51E0"/>
    <w:rsid w:val="58D5317F"/>
    <w:rsid w:val="58EB7B73"/>
    <w:rsid w:val="592F5CB1"/>
    <w:rsid w:val="59457283"/>
    <w:rsid w:val="596B480F"/>
    <w:rsid w:val="59701E26"/>
    <w:rsid w:val="59837DAB"/>
    <w:rsid w:val="59A85A64"/>
    <w:rsid w:val="59DD570D"/>
    <w:rsid w:val="5A2055FA"/>
    <w:rsid w:val="5A2E0C74"/>
    <w:rsid w:val="5A4A2677"/>
    <w:rsid w:val="5AB0697E"/>
    <w:rsid w:val="5ABD109B"/>
    <w:rsid w:val="5ACC7530"/>
    <w:rsid w:val="5AF92295"/>
    <w:rsid w:val="5B13515F"/>
    <w:rsid w:val="5B4812AC"/>
    <w:rsid w:val="5B70435F"/>
    <w:rsid w:val="5B834092"/>
    <w:rsid w:val="5BB029AE"/>
    <w:rsid w:val="5BB73D3C"/>
    <w:rsid w:val="5BCF552A"/>
    <w:rsid w:val="5BD112A2"/>
    <w:rsid w:val="5BD25C68"/>
    <w:rsid w:val="5BF925A6"/>
    <w:rsid w:val="5C164F06"/>
    <w:rsid w:val="5C281CBF"/>
    <w:rsid w:val="5C287B7A"/>
    <w:rsid w:val="5C961BA3"/>
    <w:rsid w:val="5C9D2F32"/>
    <w:rsid w:val="5CD71FC4"/>
    <w:rsid w:val="5CE24DE9"/>
    <w:rsid w:val="5D283143"/>
    <w:rsid w:val="5D414205"/>
    <w:rsid w:val="5D5932FD"/>
    <w:rsid w:val="5D6E48CE"/>
    <w:rsid w:val="5D9C58DF"/>
    <w:rsid w:val="5E1831B8"/>
    <w:rsid w:val="5E19433A"/>
    <w:rsid w:val="5E196F30"/>
    <w:rsid w:val="5E373AEB"/>
    <w:rsid w:val="5E4D2736"/>
    <w:rsid w:val="5E56783C"/>
    <w:rsid w:val="5E59732C"/>
    <w:rsid w:val="5E6C0994"/>
    <w:rsid w:val="5E79352B"/>
    <w:rsid w:val="5E987E55"/>
    <w:rsid w:val="5EC0115A"/>
    <w:rsid w:val="5EE74938"/>
    <w:rsid w:val="5EF07C91"/>
    <w:rsid w:val="5EF3152F"/>
    <w:rsid w:val="5EFD5F0A"/>
    <w:rsid w:val="5F0454EA"/>
    <w:rsid w:val="5F337B7D"/>
    <w:rsid w:val="5F351B48"/>
    <w:rsid w:val="5F7F2DC3"/>
    <w:rsid w:val="5F9F5213"/>
    <w:rsid w:val="5FAB1E0A"/>
    <w:rsid w:val="5FBE1B3D"/>
    <w:rsid w:val="5FE07D05"/>
    <w:rsid w:val="602D6CC3"/>
    <w:rsid w:val="60326087"/>
    <w:rsid w:val="604007A4"/>
    <w:rsid w:val="604638E0"/>
    <w:rsid w:val="60483AFC"/>
    <w:rsid w:val="604C7149"/>
    <w:rsid w:val="60536729"/>
    <w:rsid w:val="60637131"/>
    <w:rsid w:val="609D79A4"/>
    <w:rsid w:val="60D55390"/>
    <w:rsid w:val="60DF7FBD"/>
    <w:rsid w:val="61113EEE"/>
    <w:rsid w:val="613A51F3"/>
    <w:rsid w:val="614147D4"/>
    <w:rsid w:val="615C785F"/>
    <w:rsid w:val="619E1C26"/>
    <w:rsid w:val="61CD42B9"/>
    <w:rsid w:val="61F47A98"/>
    <w:rsid w:val="621243C2"/>
    <w:rsid w:val="621912AD"/>
    <w:rsid w:val="62265778"/>
    <w:rsid w:val="623205C0"/>
    <w:rsid w:val="623E0D13"/>
    <w:rsid w:val="62421C90"/>
    <w:rsid w:val="62467BC8"/>
    <w:rsid w:val="627D7A8D"/>
    <w:rsid w:val="62B965EC"/>
    <w:rsid w:val="62EF64B1"/>
    <w:rsid w:val="62FB05C2"/>
    <w:rsid w:val="630755A9"/>
    <w:rsid w:val="635051A2"/>
    <w:rsid w:val="638210D3"/>
    <w:rsid w:val="63936E3D"/>
    <w:rsid w:val="63B82D47"/>
    <w:rsid w:val="63C811DC"/>
    <w:rsid w:val="63CB4828"/>
    <w:rsid w:val="63E63410"/>
    <w:rsid w:val="63E853DA"/>
    <w:rsid w:val="6416019A"/>
    <w:rsid w:val="64373C6C"/>
    <w:rsid w:val="643E4FFA"/>
    <w:rsid w:val="645A5BAC"/>
    <w:rsid w:val="64915A72"/>
    <w:rsid w:val="64992B79"/>
    <w:rsid w:val="64A137DB"/>
    <w:rsid w:val="64A82DBC"/>
    <w:rsid w:val="64AA6B34"/>
    <w:rsid w:val="650C57BA"/>
    <w:rsid w:val="65393A14"/>
    <w:rsid w:val="65534AD5"/>
    <w:rsid w:val="65B732B6"/>
    <w:rsid w:val="65CE6852"/>
    <w:rsid w:val="65DC2D1D"/>
    <w:rsid w:val="65ED4F2A"/>
    <w:rsid w:val="65FA049F"/>
    <w:rsid w:val="661C67E7"/>
    <w:rsid w:val="663C1A0D"/>
    <w:rsid w:val="66495ED8"/>
    <w:rsid w:val="665E7BD6"/>
    <w:rsid w:val="66B15F58"/>
    <w:rsid w:val="66C537B1"/>
    <w:rsid w:val="66DD63E5"/>
    <w:rsid w:val="67095D94"/>
    <w:rsid w:val="6739419F"/>
    <w:rsid w:val="673E3563"/>
    <w:rsid w:val="67753429"/>
    <w:rsid w:val="679715F1"/>
    <w:rsid w:val="67A61834"/>
    <w:rsid w:val="67BF6452"/>
    <w:rsid w:val="67DC5256"/>
    <w:rsid w:val="67DD0FCE"/>
    <w:rsid w:val="68077091"/>
    <w:rsid w:val="680D3662"/>
    <w:rsid w:val="681C1AF7"/>
    <w:rsid w:val="682664D1"/>
    <w:rsid w:val="68386205"/>
    <w:rsid w:val="686E1C26"/>
    <w:rsid w:val="68882CE8"/>
    <w:rsid w:val="68A37B22"/>
    <w:rsid w:val="68BE2BAE"/>
    <w:rsid w:val="68C36416"/>
    <w:rsid w:val="68E343C2"/>
    <w:rsid w:val="68F640F6"/>
    <w:rsid w:val="68FE72F2"/>
    <w:rsid w:val="693410C2"/>
    <w:rsid w:val="6938256F"/>
    <w:rsid w:val="69434E61"/>
    <w:rsid w:val="6954706E"/>
    <w:rsid w:val="69594684"/>
    <w:rsid w:val="69854A84"/>
    <w:rsid w:val="698C2CAC"/>
    <w:rsid w:val="698E2580"/>
    <w:rsid w:val="69C8489A"/>
    <w:rsid w:val="69D02B99"/>
    <w:rsid w:val="6A042842"/>
    <w:rsid w:val="6A244C92"/>
    <w:rsid w:val="6A4175F2"/>
    <w:rsid w:val="6A694D9B"/>
    <w:rsid w:val="6A7C4ACE"/>
    <w:rsid w:val="6A9736B6"/>
    <w:rsid w:val="6A9B71F6"/>
    <w:rsid w:val="6AB9362D"/>
    <w:rsid w:val="6ABA55F7"/>
    <w:rsid w:val="6ACB15B2"/>
    <w:rsid w:val="6ACD532A"/>
    <w:rsid w:val="6B453112"/>
    <w:rsid w:val="6B9D29F0"/>
    <w:rsid w:val="6BA047ED"/>
    <w:rsid w:val="6BBF1117"/>
    <w:rsid w:val="6BF568E6"/>
    <w:rsid w:val="6C4A05C8"/>
    <w:rsid w:val="6C4D6722"/>
    <w:rsid w:val="6C5775A1"/>
    <w:rsid w:val="6C814479"/>
    <w:rsid w:val="6C9F2CF6"/>
    <w:rsid w:val="6CA15A8B"/>
    <w:rsid w:val="6CCF5389"/>
    <w:rsid w:val="6CDC3602"/>
    <w:rsid w:val="6D2F5E28"/>
    <w:rsid w:val="6D5910F7"/>
    <w:rsid w:val="6D997745"/>
    <w:rsid w:val="6D9C0FE4"/>
    <w:rsid w:val="6DB9239C"/>
    <w:rsid w:val="6DC36570"/>
    <w:rsid w:val="6DCA3DA3"/>
    <w:rsid w:val="6DD8201C"/>
    <w:rsid w:val="6DDB7D5E"/>
    <w:rsid w:val="6E0252EB"/>
    <w:rsid w:val="6E0E0133"/>
    <w:rsid w:val="6E3A0F28"/>
    <w:rsid w:val="6E494CC8"/>
    <w:rsid w:val="6E7E3605"/>
    <w:rsid w:val="6E9C573F"/>
    <w:rsid w:val="6EA563D0"/>
    <w:rsid w:val="6EB81E4D"/>
    <w:rsid w:val="6EBC36EB"/>
    <w:rsid w:val="6F0B01CF"/>
    <w:rsid w:val="6F3F60CB"/>
    <w:rsid w:val="6F5558EE"/>
    <w:rsid w:val="6FB1521A"/>
    <w:rsid w:val="6FF5CC65"/>
    <w:rsid w:val="70130F5B"/>
    <w:rsid w:val="704A2F79"/>
    <w:rsid w:val="70512559"/>
    <w:rsid w:val="70A72179"/>
    <w:rsid w:val="70AB3A18"/>
    <w:rsid w:val="71080E6A"/>
    <w:rsid w:val="711D41EA"/>
    <w:rsid w:val="71213CDA"/>
    <w:rsid w:val="712A5284"/>
    <w:rsid w:val="712B6906"/>
    <w:rsid w:val="71324139"/>
    <w:rsid w:val="71381023"/>
    <w:rsid w:val="71566079"/>
    <w:rsid w:val="715C0E4B"/>
    <w:rsid w:val="716167CC"/>
    <w:rsid w:val="7169742F"/>
    <w:rsid w:val="717C1858"/>
    <w:rsid w:val="71BE3C1E"/>
    <w:rsid w:val="71FB09CF"/>
    <w:rsid w:val="71FC02A3"/>
    <w:rsid w:val="720C498A"/>
    <w:rsid w:val="72127AC6"/>
    <w:rsid w:val="724A54B2"/>
    <w:rsid w:val="72734D90"/>
    <w:rsid w:val="72B666A4"/>
    <w:rsid w:val="72BC63B0"/>
    <w:rsid w:val="72E94CCB"/>
    <w:rsid w:val="73075151"/>
    <w:rsid w:val="733F48EB"/>
    <w:rsid w:val="73866295"/>
    <w:rsid w:val="73AD73D5"/>
    <w:rsid w:val="73B6EB34"/>
    <w:rsid w:val="73E62FB9"/>
    <w:rsid w:val="73F25E01"/>
    <w:rsid w:val="740F250F"/>
    <w:rsid w:val="741713C4"/>
    <w:rsid w:val="7443040B"/>
    <w:rsid w:val="744731E5"/>
    <w:rsid w:val="744E128A"/>
    <w:rsid w:val="746119D2"/>
    <w:rsid w:val="74806F69"/>
    <w:rsid w:val="75273889"/>
    <w:rsid w:val="757840E4"/>
    <w:rsid w:val="757C3BD5"/>
    <w:rsid w:val="758111EB"/>
    <w:rsid w:val="75C630A2"/>
    <w:rsid w:val="75CD61DE"/>
    <w:rsid w:val="75E74C1F"/>
    <w:rsid w:val="76196AA0"/>
    <w:rsid w:val="76375D4D"/>
    <w:rsid w:val="765B1A3C"/>
    <w:rsid w:val="766C1E9B"/>
    <w:rsid w:val="767B20DE"/>
    <w:rsid w:val="76805946"/>
    <w:rsid w:val="76A809F9"/>
    <w:rsid w:val="76C05D43"/>
    <w:rsid w:val="76E3355F"/>
    <w:rsid w:val="76E557A9"/>
    <w:rsid w:val="76E9529A"/>
    <w:rsid w:val="76EC2FDC"/>
    <w:rsid w:val="76F37EC6"/>
    <w:rsid w:val="77387FCF"/>
    <w:rsid w:val="774B7D02"/>
    <w:rsid w:val="778769C8"/>
    <w:rsid w:val="77A15B74"/>
    <w:rsid w:val="77A17922"/>
    <w:rsid w:val="77AE203F"/>
    <w:rsid w:val="77DC1FEB"/>
    <w:rsid w:val="783A38D3"/>
    <w:rsid w:val="78570929"/>
    <w:rsid w:val="786170B2"/>
    <w:rsid w:val="789B0816"/>
    <w:rsid w:val="789D458E"/>
    <w:rsid w:val="78AE679B"/>
    <w:rsid w:val="78B2790D"/>
    <w:rsid w:val="78B74F24"/>
    <w:rsid w:val="78DB3308"/>
    <w:rsid w:val="78DF4BA6"/>
    <w:rsid w:val="78E315A2"/>
    <w:rsid w:val="78F148D9"/>
    <w:rsid w:val="78F47F26"/>
    <w:rsid w:val="79102FB2"/>
    <w:rsid w:val="7947274B"/>
    <w:rsid w:val="797D7F1B"/>
    <w:rsid w:val="79817A0B"/>
    <w:rsid w:val="79B7342D"/>
    <w:rsid w:val="79C913B2"/>
    <w:rsid w:val="79DD09BA"/>
    <w:rsid w:val="79EB757B"/>
    <w:rsid w:val="79ED6E4F"/>
    <w:rsid w:val="79EE5BA4"/>
    <w:rsid w:val="79F71CAC"/>
    <w:rsid w:val="7A0E5017"/>
    <w:rsid w:val="7A17211E"/>
    <w:rsid w:val="7A28257D"/>
    <w:rsid w:val="7A480529"/>
    <w:rsid w:val="7A523156"/>
    <w:rsid w:val="7A5944E4"/>
    <w:rsid w:val="7A652E89"/>
    <w:rsid w:val="7A894339"/>
    <w:rsid w:val="7A9C2623"/>
    <w:rsid w:val="7AB636E5"/>
    <w:rsid w:val="7AC5601E"/>
    <w:rsid w:val="7AE83ABA"/>
    <w:rsid w:val="7AF75AAB"/>
    <w:rsid w:val="7AF95CC7"/>
    <w:rsid w:val="7AFB37ED"/>
    <w:rsid w:val="7B3B62E0"/>
    <w:rsid w:val="7B3D5BB4"/>
    <w:rsid w:val="7B4E6013"/>
    <w:rsid w:val="7B5257E0"/>
    <w:rsid w:val="7B917CAE"/>
    <w:rsid w:val="7BA07EF1"/>
    <w:rsid w:val="7BC77B74"/>
    <w:rsid w:val="7BF344C5"/>
    <w:rsid w:val="7BF47B56"/>
    <w:rsid w:val="7BF859D9"/>
    <w:rsid w:val="7BFC781D"/>
    <w:rsid w:val="7C0C5586"/>
    <w:rsid w:val="7C26489A"/>
    <w:rsid w:val="7C5C650E"/>
    <w:rsid w:val="7C66738C"/>
    <w:rsid w:val="7C7C095E"/>
    <w:rsid w:val="7CAD4FBB"/>
    <w:rsid w:val="7CDE6F23"/>
    <w:rsid w:val="7CE85FF3"/>
    <w:rsid w:val="7D140B97"/>
    <w:rsid w:val="7D2B70C2"/>
    <w:rsid w:val="7D5A0C9F"/>
    <w:rsid w:val="7D5B67C5"/>
    <w:rsid w:val="7D707D59"/>
    <w:rsid w:val="7E3A3582"/>
    <w:rsid w:val="7E494870"/>
    <w:rsid w:val="7E527BC8"/>
    <w:rsid w:val="7E8B30DA"/>
    <w:rsid w:val="7E937D37"/>
    <w:rsid w:val="7EAF501B"/>
    <w:rsid w:val="7EE74C48"/>
    <w:rsid w:val="7EEF11D3"/>
    <w:rsid w:val="7F250E39"/>
    <w:rsid w:val="7F2A644F"/>
    <w:rsid w:val="7F385010"/>
    <w:rsid w:val="7F435763"/>
    <w:rsid w:val="7F511C2E"/>
    <w:rsid w:val="7F857B2A"/>
    <w:rsid w:val="7F89761A"/>
    <w:rsid w:val="7F923FF5"/>
    <w:rsid w:val="7FA30C79"/>
    <w:rsid w:val="7FB7269E"/>
    <w:rsid w:val="7FC96657"/>
    <w:rsid w:val="7FE44850"/>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6">
    <w:name w:val="annotation text"/>
    <w:basedOn w:val="1"/>
    <w:semiHidden/>
    <w:unhideWhenUsed/>
    <w:qFormat/>
    <w:uiPriority w:val="99"/>
    <w:pPr>
      <w:jc w:val="left"/>
    </w:pPr>
  </w:style>
  <w:style w:type="paragraph" w:styleId="7">
    <w:name w:val="Body Text"/>
    <w:basedOn w:val="1"/>
    <w:next w:val="1"/>
    <w:link w:val="27"/>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7"/>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10"/>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7">
    <w:name w:val="font31"/>
    <w:basedOn w:val="17"/>
    <w:qFormat/>
    <w:uiPriority w:val="0"/>
    <w:rPr>
      <w:rFonts w:hint="eastAsia" w:ascii="宋体" w:hAnsi="宋体" w:eastAsia="宋体" w:cs="宋体"/>
      <w:color w:val="000000"/>
      <w:sz w:val="24"/>
      <w:szCs w:val="24"/>
      <w:u w:val="none"/>
    </w:rPr>
  </w:style>
  <w:style w:type="character" w:customStyle="1" w:styleId="38">
    <w:name w:val="font81"/>
    <w:basedOn w:val="17"/>
    <w:qFormat/>
    <w:uiPriority w:val="0"/>
    <w:rPr>
      <w:rFonts w:hint="default" w:ascii="Times New Roman" w:hAnsi="Times New Roman" w:cs="Times New Roman"/>
      <w:color w:val="000000"/>
      <w:sz w:val="24"/>
      <w:szCs w:val="24"/>
      <w:u w:val="none"/>
    </w:rPr>
  </w:style>
  <w:style w:type="character" w:customStyle="1" w:styleId="39">
    <w:name w:val="font51"/>
    <w:basedOn w:val="17"/>
    <w:qFormat/>
    <w:uiPriority w:val="0"/>
    <w:rPr>
      <w:rFonts w:hint="eastAsia" w:ascii="宋体" w:hAnsi="宋体" w:eastAsia="宋体" w:cs="宋体"/>
      <w:b/>
      <w:bCs/>
      <w:color w:val="000000"/>
      <w:sz w:val="18"/>
      <w:szCs w:val="18"/>
      <w:u w:val="none"/>
    </w:rPr>
  </w:style>
  <w:style w:type="character" w:customStyle="1" w:styleId="40">
    <w:name w:val="font61"/>
    <w:basedOn w:val="17"/>
    <w:qFormat/>
    <w:uiPriority w:val="0"/>
    <w:rPr>
      <w:rFonts w:hint="eastAsia" w:ascii="宋体" w:hAnsi="宋体" w:eastAsia="宋体" w:cs="宋体"/>
      <w:color w:val="000000"/>
      <w:sz w:val="16"/>
      <w:szCs w:val="16"/>
      <w:u w:val="none"/>
    </w:rPr>
  </w:style>
  <w:style w:type="character" w:customStyle="1" w:styleId="41">
    <w:name w:val="font41"/>
    <w:basedOn w:val="17"/>
    <w:qFormat/>
    <w:uiPriority w:val="0"/>
    <w:rPr>
      <w:rFonts w:hint="eastAsia" w:ascii="宋体" w:hAnsi="宋体" w:eastAsia="宋体" w:cs="宋体"/>
      <w:color w:val="000000"/>
      <w:sz w:val="18"/>
      <w:szCs w:val="18"/>
      <w:u w:val="none"/>
    </w:rPr>
  </w:style>
  <w:style w:type="character" w:customStyle="1" w:styleId="42">
    <w:name w:val="font91"/>
    <w:basedOn w:val="17"/>
    <w:qFormat/>
    <w:uiPriority w:val="0"/>
    <w:rPr>
      <w:rFonts w:hint="eastAsia" w:ascii="宋体" w:hAnsi="宋体" w:eastAsia="宋体" w:cs="宋体"/>
      <w:b/>
      <w:bCs/>
      <w:color w:val="000000"/>
      <w:sz w:val="21"/>
      <w:szCs w:val="21"/>
      <w:u w:val="none"/>
    </w:rPr>
  </w:style>
  <w:style w:type="paragraph" w:customStyle="1" w:styleId="43">
    <w:name w:val="WPSOffice手动目录 1"/>
    <w:uiPriority w:val="0"/>
    <w:pPr>
      <w:ind w:leftChars="0"/>
    </w:pPr>
    <w:rPr>
      <w:sz w:val="20"/>
      <w:szCs w:val="20"/>
    </w:rPr>
  </w:style>
  <w:style w:type="paragraph" w:customStyle="1" w:styleId="44">
    <w:name w:val="WPSOffice手动目录 2"/>
    <w:uiPriority w:val="0"/>
    <w:pPr>
      <w:ind w:leftChars="200"/>
    </w:pPr>
    <w:rPr>
      <w:sz w:val="20"/>
      <w:szCs w:val="20"/>
    </w:rPr>
  </w:style>
  <w:style w:type="paragraph" w:customStyle="1" w:styleId="4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支出决算（万元）</c:v>
                </c:pt>
                <c:pt idx="1">
                  <c:v>收入决算（万元）</c:v>
                </c:pt>
              </c:strCache>
            </c:strRef>
          </c:cat>
          <c:val>
            <c:numRef>
              <c:f>Sheet1!$B$2:$B$3</c:f>
              <c:numCache>
                <c:formatCode>General</c:formatCode>
                <c:ptCount val="2"/>
                <c:pt idx="0">
                  <c:v>639.81</c:v>
                </c:pt>
                <c:pt idx="1">
                  <c:v>639.81</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支出决算（万元）</c:v>
                </c:pt>
                <c:pt idx="1">
                  <c:v>收入决算（万元）</c:v>
                </c:pt>
              </c:strCache>
            </c:strRef>
          </c:cat>
          <c:val>
            <c:numRef>
              <c:f>Sheet1!$C$2:$C$3</c:f>
              <c:numCache>
                <c:formatCode>General</c:formatCode>
                <c:ptCount val="2"/>
                <c:pt idx="0">
                  <c:v>522.82</c:v>
                </c:pt>
                <c:pt idx="1">
                  <c:v>522.82</c:v>
                </c:pt>
              </c:numCache>
            </c:numRef>
          </c:val>
        </c:ser>
        <c:dLbls>
          <c:showLegendKey val="0"/>
          <c:showVal val="1"/>
          <c:showCatName val="0"/>
          <c:showSerName val="0"/>
          <c:showPercent val="0"/>
          <c:showBubbleSize val="0"/>
        </c:dLbls>
        <c:gapWidth val="246"/>
        <c:overlap val="-28"/>
        <c:axId val="137367290"/>
        <c:axId val="634480399"/>
      </c:barChart>
      <c:catAx>
        <c:axId val="1373672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480399"/>
        <c:crosses val="autoZero"/>
        <c:auto val="1"/>
        <c:lblAlgn val="ctr"/>
        <c:lblOffset val="100"/>
        <c:noMultiLvlLbl val="0"/>
      </c:catAx>
      <c:valAx>
        <c:axId val="63448039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3672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政府性基金预算财政拨款</c:v>
                </c:pt>
                <c:pt idx="2">
                  <c:v>其他收入</c:v>
                </c:pt>
              </c:strCache>
            </c:strRef>
          </c:cat>
          <c:val>
            <c:numRef>
              <c:f>Sheet1!$B$2:$B$4</c:f>
              <c:numCache>
                <c:formatCode>General</c:formatCode>
                <c:ptCount val="3"/>
                <c:pt idx="0">
                  <c:v>463.18</c:v>
                </c:pt>
                <c:pt idx="1">
                  <c:v>59.5</c:v>
                </c:pt>
                <c:pt idx="2">
                  <c:v>0.11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支出决算结构图（万元）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残疾人事业支出</c:v>
                </c:pt>
                <c:pt idx="1">
                  <c:v>其他收入</c:v>
                </c:pt>
              </c:strCache>
            </c:strRef>
          </c:cat>
          <c:val>
            <c:numRef>
              <c:f>Sheet1!$B$2:$B$3</c:f>
              <c:numCache>
                <c:formatCode>General</c:formatCode>
                <c:ptCount val="2"/>
                <c:pt idx="0">
                  <c:v>361.05</c:v>
                </c:pt>
                <c:pt idx="1">
                  <c:v>161.76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639.76</c:v>
                </c:pt>
                <c:pt idx="1">
                  <c:v>639.76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522.71</c:v>
                </c:pt>
                <c:pt idx="1">
                  <c:v>522.71</c:v>
                </c:pt>
              </c:numCache>
            </c:numRef>
          </c:val>
        </c:ser>
        <c:dLbls>
          <c:showLegendKey val="0"/>
          <c:showVal val="1"/>
          <c:showCatName val="0"/>
          <c:showSerName val="0"/>
          <c:showPercent val="0"/>
          <c:showBubbleSize val="0"/>
        </c:dLbls>
        <c:gapWidth val="246"/>
        <c:overlap val="-28"/>
        <c:axId val="137367290"/>
        <c:axId val="634480399"/>
      </c:barChart>
      <c:catAx>
        <c:axId val="1373672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480399"/>
        <c:crosses val="autoZero"/>
        <c:auto val="1"/>
        <c:lblAlgn val="ctr"/>
        <c:lblOffset val="100"/>
        <c:noMultiLvlLbl val="0"/>
      </c:catAx>
      <c:valAx>
        <c:axId val="63448039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3672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Sheet1!$B$2</c:f>
              <c:numCache>
                <c:formatCode>General</c:formatCode>
                <c:ptCount val="1"/>
                <c:pt idx="0">
                  <c:v>565.73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Sheet1!$C$2</c:f>
              <c:numCache>
                <c:formatCode>General</c:formatCode>
                <c:ptCount val="1"/>
                <c:pt idx="0">
                  <c:v>463.18</c:v>
                </c:pt>
              </c:numCache>
            </c:numRef>
          </c:val>
        </c:ser>
        <c:dLbls>
          <c:showLegendKey val="0"/>
          <c:showVal val="1"/>
          <c:showCatName val="0"/>
          <c:showSerName val="0"/>
          <c:showPercent val="0"/>
          <c:showBubbleSize val="0"/>
        </c:dLbls>
        <c:gapWidth val="246"/>
        <c:overlap val="-28"/>
        <c:axId val="137367290"/>
        <c:axId val="634480399"/>
      </c:barChart>
      <c:catAx>
        <c:axId val="1373672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480399"/>
        <c:crosses val="autoZero"/>
        <c:auto val="1"/>
        <c:lblAlgn val="ctr"/>
        <c:lblOffset val="100"/>
        <c:noMultiLvlLbl val="0"/>
      </c:catAx>
      <c:valAx>
        <c:axId val="63448039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3672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支出决算结构图（万元）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General</c:formatCode>
                <c:ptCount val="4"/>
                <c:pt idx="0">
                  <c:v>436.72</c:v>
                </c:pt>
                <c:pt idx="1">
                  <c:v>5.92</c:v>
                </c:pt>
                <c:pt idx="2">
                  <c:v>9</c:v>
                </c:pt>
                <c:pt idx="3">
                  <c:v>11.54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支出决算结构图（万元）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公务接待费支出</c:v>
                </c:pt>
                <c:pt idx="1">
                  <c:v>公务用车购置及运行维护费支出</c:v>
                </c:pt>
                <c:pt idx="2">
                  <c:v>因公出国（境）费支出</c:v>
                </c:pt>
              </c:strCache>
            </c:strRef>
          </c:cat>
          <c:val>
            <c:numRef>
              <c:f>Sheet1!$B$2:$B$4</c:f>
              <c:numCache>
                <c:formatCode>General</c:formatCode>
                <c:ptCount val="3"/>
                <c:pt idx="0">
                  <c:v>0.94</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32907</Words>
  <Characters>34860</Characters>
  <Lines>61</Lines>
  <Paragraphs>17</Paragraphs>
  <TotalTime>1</TotalTime>
  <ScaleCrop>false</ScaleCrop>
  <LinksUpToDate>false</LinksUpToDate>
  <CharactersWithSpaces>49970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2023-11-01T03:48:44Z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5D1B18CD5584405E88F102E5184CEC3C_13</vt:lpwstr>
  </property>
</Properties>
</file>