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pacing w:line="576" w:lineRule="exact"/>
        <w:jc w:val="center"/>
        <w:textAlignment w:val="auto"/>
        <w:rPr>
          <w:rFonts w:ascii="仿宋_GB2312" w:cs="仿宋_GB2312"/>
          <w:color w:val="000000"/>
        </w:rPr>
      </w:pPr>
    </w:p>
    <w:p>
      <w:pPr>
        <w:keepNext w:val="0"/>
        <w:keepLines w:val="0"/>
        <w:pageBreakBefore w:val="0"/>
        <w:kinsoku/>
        <w:wordWrap/>
        <w:overflowPunct/>
        <w:bidi w:val="0"/>
        <w:spacing w:line="576" w:lineRule="exact"/>
        <w:jc w:val="center"/>
        <w:textAlignment w:val="auto"/>
        <w:rPr>
          <w:rFonts w:ascii="仿宋_GB2312" w:hAnsi="仿宋" w:eastAsia="仿宋_GB2312" w:cs="仿宋_GB2312"/>
          <w:sz w:val="32"/>
          <w:szCs w:val="32"/>
        </w:rPr>
      </w:pPr>
    </w:p>
    <w:p>
      <w:pPr>
        <w:keepNext w:val="0"/>
        <w:keepLines w:val="0"/>
        <w:pageBreakBefore w:val="0"/>
        <w:kinsoku/>
        <w:wordWrap/>
        <w:overflowPunct/>
        <w:bidi w:val="0"/>
        <w:spacing w:line="576" w:lineRule="exact"/>
        <w:jc w:val="center"/>
        <w:textAlignment w:val="auto"/>
        <w:rPr>
          <w:rFonts w:ascii="仿宋_GB2312" w:hAnsi="仿宋" w:eastAsia="仿宋_GB2312" w:cs="仿宋_GB2312"/>
          <w:sz w:val="32"/>
          <w:szCs w:val="32"/>
        </w:rPr>
      </w:pPr>
    </w:p>
    <w:p>
      <w:pPr>
        <w:keepNext w:val="0"/>
        <w:keepLines w:val="0"/>
        <w:pageBreakBefore w:val="0"/>
        <w:kinsoku/>
        <w:wordWrap/>
        <w:overflowPunct/>
        <w:bidi w:val="0"/>
        <w:spacing w:line="576" w:lineRule="exact"/>
        <w:jc w:val="center"/>
        <w:textAlignment w:val="auto"/>
        <w:rPr>
          <w:rFonts w:ascii="仿宋_GB2312" w:hAnsi="仿宋" w:eastAsia="仿宋_GB2312" w:cs="仿宋_GB2312"/>
          <w:sz w:val="32"/>
          <w:szCs w:val="32"/>
        </w:rPr>
      </w:pPr>
    </w:p>
    <w:p>
      <w:pPr>
        <w:keepNext w:val="0"/>
        <w:keepLines w:val="0"/>
        <w:pageBreakBefore w:val="0"/>
        <w:kinsoku/>
        <w:wordWrap/>
        <w:overflowPunct/>
        <w:bidi w:val="0"/>
        <w:spacing w:line="576" w:lineRule="exact"/>
        <w:jc w:val="center"/>
        <w:textAlignment w:val="auto"/>
        <w:rPr>
          <w:rFonts w:ascii="仿宋_GB2312" w:hAnsi="仿宋" w:eastAsia="仿宋_GB2312" w:cs="仿宋_GB2312"/>
          <w:sz w:val="32"/>
          <w:szCs w:val="32"/>
        </w:rPr>
      </w:pPr>
    </w:p>
    <w:p>
      <w:pPr>
        <w:keepNext w:val="0"/>
        <w:keepLines w:val="0"/>
        <w:pageBreakBefore w:val="0"/>
        <w:kinsoku/>
        <w:wordWrap/>
        <w:overflowPunct/>
        <w:bidi w:val="0"/>
        <w:spacing w:line="576" w:lineRule="exact"/>
        <w:textAlignment w:val="auto"/>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2"/>
        <w:keepNext w:val="0"/>
        <w:keepLines w:val="0"/>
        <w:pageBreakBefore w:val="0"/>
        <w:pBdr>
          <w:top w:val="none" w:color="auto" w:sz="0" w:space="0"/>
          <w:left w:val="none" w:color="auto" w:sz="0" w:space="0"/>
          <w:bottom w:val="none" w:color="auto" w:sz="0" w:space="0"/>
          <w:right w:val="none" w:color="auto" w:sz="0" w:space="0"/>
        </w:pBdr>
        <w:kinsoku/>
        <w:wordWrap/>
        <w:overflowPunct/>
        <w:bidi w:val="0"/>
        <w:spacing w:line="576" w:lineRule="exact"/>
        <w:textAlignment w:val="auto"/>
      </w:pPr>
    </w:p>
    <w:p>
      <w:pPr>
        <w:rPr>
          <w:sz w:val="18"/>
          <w:szCs w:val="18"/>
        </w:rPr>
      </w:pPr>
      <w:bookmarkStart w:id="0" w:name="_GoBack"/>
      <w:bookmarkEnd w:id="0"/>
    </w:p>
    <w:p>
      <w:pPr>
        <w:pStyle w:val="2"/>
      </w:pPr>
    </w:p>
    <w:p>
      <w:pPr>
        <w:keepNext w:val="0"/>
        <w:keepLines w:val="0"/>
        <w:pageBreakBefore w:val="0"/>
        <w:kinsoku/>
        <w:wordWrap/>
        <w:overflowPunct/>
        <w:bidi w:val="0"/>
        <w:spacing w:line="576" w:lineRule="exact"/>
        <w:textAlignment w:val="auto"/>
      </w:pPr>
    </w:p>
    <w:p>
      <w:pPr>
        <w:keepNext w:val="0"/>
        <w:keepLines w:val="0"/>
        <w:pageBreakBefore w:val="0"/>
        <w:kinsoku/>
        <w:wordWrap/>
        <w:overflowPunct/>
        <w:bidi w:val="0"/>
        <w:spacing w:line="576" w:lineRule="exact"/>
        <w:jc w:val="center"/>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号</w:t>
      </w:r>
    </w:p>
    <w:p>
      <w:pPr>
        <w:keepNext w:val="0"/>
        <w:keepLines w:val="0"/>
        <w:pageBreakBefore w:val="0"/>
        <w:kinsoku/>
        <w:wordWrap/>
        <w:overflowPunct/>
        <w:bidi w:val="0"/>
        <w:spacing w:line="576" w:lineRule="exact"/>
        <w:textAlignment w:val="auto"/>
        <w:rPr>
          <w:rFonts w:ascii="方正大标宋简体" w:hAnsi="方正大标宋简体" w:eastAsia="方正大标宋简体" w:cs="方正大标宋简体"/>
          <w:sz w:val="44"/>
          <w:szCs w:val="44"/>
        </w:rPr>
      </w:pPr>
    </w:p>
    <w:p>
      <w:pPr>
        <w:keepNext w:val="0"/>
        <w:keepLines w:val="0"/>
        <w:pageBreakBefore w:val="0"/>
        <w:kinsoku/>
        <w:wordWrap/>
        <w:overflowPunct/>
        <w:bidi w:val="0"/>
        <w:spacing w:line="576" w:lineRule="exact"/>
        <w:textAlignment w:val="auto"/>
        <w:rPr>
          <w:rFonts w:ascii="黑体" w:hAnsi="Times New Roman" w:eastAsia="黑体" w:cs="黑体"/>
          <w:sz w:val="44"/>
          <w:szCs w:val="44"/>
        </w:rPr>
      </w:pPr>
    </w:p>
    <w:p>
      <w:pPr>
        <w:keepNext w:val="0"/>
        <w:keepLines w:val="0"/>
        <w:pageBreakBefore w:val="0"/>
        <w:kinsoku/>
        <w:wordWrap/>
        <w:overflowPunct/>
        <w:bidi w:val="0"/>
        <w:spacing w:line="576"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keepNext w:val="0"/>
        <w:keepLines w:val="0"/>
        <w:pageBreakBefore w:val="0"/>
        <w:kinsoku/>
        <w:wordWrap/>
        <w:overflowPunct/>
        <w:bidi w:val="0"/>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年产100吨生物质香油建设项目</w:t>
      </w:r>
    </w:p>
    <w:p>
      <w:pPr>
        <w:keepNext w:val="0"/>
        <w:keepLines w:val="0"/>
        <w:pageBreakBefore w:val="0"/>
        <w:kinsoku/>
        <w:wordWrap/>
        <w:overflowPunct/>
        <w:bidi w:val="0"/>
        <w:spacing w:line="576"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环境影响报告表的批复</w:t>
      </w:r>
    </w:p>
    <w:p>
      <w:pPr>
        <w:keepNext w:val="0"/>
        <w:keepLines w:val="0"/>
        <w:pageBreakBefore w:val="0"/>
        <w:kinsoku/>
        <w:wordWrap/>
        <w:overflowPunct/>
        <w:bidi w:val="0"/>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bidi w:val="0"/>
        <w:spacing w:line="576"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广元市鑫宏新能源科技有限公司</w:t>
      </w:r>
      <w:r>
        <w:rPr>
          <w:rFonts w:hint="eastAsia" w:ascii="仿宋_GB2312" w:hAnsi="仿宋_GB2312" w:eastAsia="仿宋_GB2312" w:cs="仿宋_GB2312"/>
          <w:sz w:val="32"/>
          <w:szCs w:val="32"/>
        </w:rPr>
        <w:t>：</w:t>
      </w:r>
    </w:p>
    <w:p>
      <w:pPr>
        <w:keepNext w:val="0"/>
        <w:keepLines w:val="0"/>
        <w:pageBreakBefore w:val="0"/>
        <w:kinsoku/>
        <w:wordWrap/>
        <w:overflowPunct/>
        <w:bidi w:val="0"/>
        <w:spacing w:line="576"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年产100吨生物质香油建设项目</w:t>
      </w:r>
      <w:r>
        <w:rPr>
          <w:rFonts w:hint="eastAsia" w:ascii="仿宋_GB2312" w:hAnsi="仿宋_GB2312" w:eastAsia="仿宋_GB2312" w:cs="仿宋_GB2312"/>
          <w:sz w:val="32"/>
          <w:szCs w:val="32"/>
        </w:rPr>
        <w:t>环境影响报告表》已收悉。经研究，现批复如下。</w:t>
      </w:r>
    </w:p>
    <w:p>
      <w:pPr>
        <w:pStyle w:val="11"/>
        <w:keepNext w:val="0"/>
        <w:keepLines w:val="0"/>
        <w:pageBreakBefore w:val="0"/>
        <w:numPr>
          <w:ilvl w:val="0"/>
          <w:numId w:val="1"/>
        </w:numPr>
        <w:kinsoku/>
        <w:wordWrap/>
        <w:overflowPunct/>
        <w:bidi w:val="0"/>
        <w:spacing w:beforeAutospacing="0" w:afterAutospacing="0" w:line="576"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eastAsia="zh-CN"/>
        </w:rPr>
        <w:t>位于</w:t>
      </w:r>
      <w:r>
        <w:rPr>
          <w:rFonts w:hint="eastAsia" w:ascii="仿宋_GB2312" w:hAnsi="仿宋_GB2312" w:eastAsia="仿宋_GB2312" w:cs="仿宋_GB2312"/>
          <w:color w:val="auto"/>
          <w:sz w:val="32"/>
          <w:szCs w:val="32"/>
          <w:highlight w:val="none"/>
          <w:lang w:eastAsia="zh-CN"/>
        </w:rPr>
        <w:t>朝天区仇坝工业区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项目不新建厂房，利用原项目（</w:t>
      </w:r>
      <w:r>
        <w:rPr>
          <w:rFonts w:hint="eastAsia" w:ascii="仿宋_GB2312" w:hAnsi="仿宋_GB2312" w:eastAsia="仿宋_GB2312" w:cs="仿宋_GB2312"/>
          <w:color w:val="auto"/>
          <w:sz w:val="32"/>
          <w:szCs w:val="32"/>
          <w:highlight w:val="none"/>
          <w:lang w:val="en-US" w:eastAsia="zh-CN"/>
        </w:rPr>
        <w:t>朝天区生物质新型颗粒燃料建设项目）生产车间内生物质颗粒生产线原料堆放区，占地面积约400m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；原项目原料堆放区变更到厂区2#生产车间内，同时本项目的原料也暂存于2#生产车间；</w:t>
      </w:r>
      <w:r>
        <w:rPr>
          <w:rFonts w:hint="eastAsia" w:ascii="仿宋_GB2312" w:hAnsi="仿宋_GB2312" w:eastAsia="仿宋_GB2312" w:cs="仿宋_GB2312"/>
          <w:color w:val="auto"/>
          <w:kern w:val="0"/>
          <w:sz w:val="32"/>
          <w:szCs w:val="32"/>
          <w:vertAlign w:val="baseline"/>
          <w:lang w:val="en-US" w:eastAsia="zh-CN" w:bidi="ar-SA"/>
        </w:rPr>
        <w:t>原项目的生物质颗粒成品堆放区（占地约400m</w:t>
      </w:r>
      <w:r>
        <w:rPr>
          <w:rFonts w:hint="eastAsia" w:ascii="仿宋_GB2312" w:hAnsi="仿宋_GB2312" w:eastAsia="仿宋_GB2312" w:cs="仿宋_GB2312"/>
          <w:color w:val="auto"/>
          <w:kern w:val="0"/>
          <w:sz w:val="32"/>
          <w:szCs w:val="32"/>
          <w:vertAlign w:val="superscript"/>
          <w:lang w:val="en-US" w:eastAsia="zh-CN" w:bidi="ar-SA"/>
        </w:rPr>
        <w:t>2</w:t>
      </w:r>
      <w:r>
        <w:rPr>
          <w:rFonts w:hint="eastAsia" w:ascii="仿宋_GB2312" w:hAnsi="仿宋_GB2312" w:eastAsia="仿宋_GB2312" w:cs="仿宋_GB2312"/>
          <w:color w:val="auto"/>
          <w:kern w:val="0"/>
          <w:sz w:val="32"/>
          <w:szCs w:val="32"/>
          <w:vertAlign w:val="baseline"/>
          <w:lang w:val="en-US" w:eastAsia="zh-CN" w:bidi="ar-SA"/>
        </w:rPr>
        <w:t>）将调整成生物质颗粒成品堆放区（300m</w:t>
      </w:r>
      <w:r>
        <w:rPr>
          <w:rFonts w:hint="eastAsia" w:ascii="仿宋_GB2312" w:hAnsi="仿宋_GB2312" w:eastAsia="仿宋_GB2312" w:cs="仿宋_GB2312"/>
          <w:color w:val="auto"/>
          <w:kern w:val="0"/>
          <w:sz w:val="32"/>
          <w:szCs w:val="32"/>
          <w:vertAlign w:val="superscript"/>
          <w:lang w:val="en-US" w:eastAsia="zh-CN" w:bidi="ar-SA"/>
        </w:rPr>
        <w:t>2</w:t>
      </w:r>
      <w:r>
        <w:rPr>
          <w:rFonts w:hint="eastAsia" w:ascii="仿宋_GB2312" w:hAnsi="仿宋_GB2312" w:eastAsia="仿宋_GB2312" w:cs="仿宋_GB2312"/>
          <w:color w:val="auto"/>
          <w:kern w:val="0"/>
          <w:sz w:val="32"/>
          <w:szCs w:val="32"/>
          <w:vertAlign w:val="baseline"/>
          <w:lang w:val="en-US" w:eastAsia="zh-CN" w:bidi="ar-SA"/>
        </w:rPr>
        <w:t>）及本项目的生物质香料油库（100m</w:t>
      </w:r>
      <w:r>
        <w:rPr>
          <w:rFonts w:hint="eastAsia" w:ascii="仿宋_GB2312" w:hAnsi="仿宋_GB2312" w:eastAsia="仿宋_GB2312" w:cs="仿宋_GB2312"/>
          <w:color w:val="auto"/>
          <w:kern w:val="0"/>
          <w:sz w:val="32"/>
          <w:szCs w:val="32"/>
          <w:vertAlign w:val="superscript"/>
          <w:lang w:val="en-US" w:eastAsia="zh-CN" w:bidi="ar-SA"/>
        </w:rPr>
        <w:t>2</w:t>
      </w:r>
      <w:r>
        <w:rPr>
          <w:rFonts w:hint="eastAsia" w:ascii="仿宋_GB2312" w:hAnsi="仿宋_GB2312" w:eastAsia="仿宋_GB2312" w:cs="仿宋_GB2312"/>
          <w:color w:val="auto"/>
          <w:kern w:val="0"/>
          <w:sz w:val="32"/>
          <w:szCs w:val="32"/>
          <w:vertAlign w:val="baseline"/>
          <w:lang w:val="en-US" w:eastAsia="zh-CN" w:bidi="ar-SA"/>
        </w:rPr>
        <w:t>），</w:t>
      </w:r>
      <w:r>
        <w:rPr>
          <w:rFonts w:hint="eastAsia" w:ascii="仿宋_GB2312" w:hAnsi="仿宋_GB2312" w:eastAsia="仿宋_GB2312" w:cs="仿宋_GB2312"/>
          <w:color w:val="auto"/>
          <w:sz w:val="32"/>
          <w:szCs w:val="32"/>
          <w:highlight w:val="none"/>
          <w:lang w:val="en-US" w:eastAsia="zh-CN"/>
        </w:rPr>
        <w:t>本项目建成后，可达到年产100吨生物质香料油的生产能力。</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71.3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keepNext w:val="0"/>
        <w:keepLines w:val="0"/>
        <w:pageBreakBefore w:val="0"/>
        <w:kinsoku/>
        <w:wordWrap/>
        <w:overflowPunct/>
        <w:bidi w:val="0"/>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kinsoku/>
        <w:wordWrap/>
        <w:overflowPunct/>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keepNext w:val="0"/>
        <w:keepLines w:val="0"/>
        <w:pageBreakBefore w:val="0"/>
        <w:kinsoku/>
        <w:wordWrap/>
        <w:overflowPunct/>
        <w:bidi w:val="0"/>
        <w:adjustRightInd w:val="0"/>
        <w:snapToGrid w:val="0"/>
        <w:spacing w:line="576" w:lineRule="exact"/>
        <w:ind w:firstLine="720" w:firstLineChars="225"/>
        <w:textAlignment w:val="auto"/>
        <w:rPr>
          <w:rFonts w:hint="eastAsia" w:ascii="黑体" w:hAnsi="黑体" w:eastAsia="仿宋_GB2312" w:cs="黑体"/>
          <w:sz w:val="32"/>
          <w:szCs w:val="32"/>
          <w:lang w:eastAsia="zh-CN"/>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营运期</w:t>
      </w:r>
      <w:r>
        <w:rPr>
          <w:rFonts w:hint="eastAsia" w:ascii="仿宋_GB2312" w:eastAsia="仿宋_GB2312"/>
          <w:bCs/>
          <w:sz w:val="32"/>
          <w:szCs w:val="32"/>
          <w:lang w:eastAsia="zh-CN"/>
        </w:rPr>
        <w:t>锅炉软化废水暂存于冷却池用于冷却器冷却水，不外排；水幕除尘器废水沉淀后循环使用，不外排；</w:t>
      </w:r>
      <w:r>
        <w:rPr>
          <w:rFonts w:hint="eastAsia" w:ascii="仿宋_GB2312" w:hAnsi="仿宋_GB2312" w:eastAsia="仿宋_GB2312" w:cs="仿宋_GB2312"/>
          <w:bCs/>
          <w:sz w:val="32"/>
          <w:szCs w:val="32"/>
          <w:lang w:eastAsia="zh-CN"/>
        </w:rPr>
        <w:t>生活废水经隔油池沉淀后通过化粪池预处理，</w:t>
      </w:r>
      <w:r>
        <w:rPr>
          <w:rFonts w:hint="eastAsia" w:ascii="仿宋_GB2312" w:eastAsia="仿宋_GB2312"/>
          <w:bCs/>
          <w:sz w:val="32"/>
          <w:szCs w:val="32"/>
          <w:lang w:eastAsia="zh-CN"/>
        </w:rPr>
        <w:t>蒸馏水汽和油蒸汽等生产废水经冷却分离后由自建污水处理站处理达</w:t>
      </w:r>
      <w:r>
        <w:rPr>
          <w:rFonts w:hint="eastAsia" w:ascii="仿宋_GB2312" w:hAnsi="仿宋_GB2312" w:eastAsia="仿宋_GB2312" w:cs="仿宋_GB2312"/>
          <w:color w:val="auto"/>
          <w:sz w:val="32"/>
          <w:szCs w:val="32"/>
          <w:highlight w:val="none"/>
          <w:lang w:eastAsia="zh-CN"/>
        </w:rPr>
        <w:t>《污水综合排放标准》（GB8978-1996）三级标准后，生产废水和生活废水</w:t>
      </w:r>
      <w:r>
        <w:rPr>
          <w:rFonts w:hint="eastAsia" w:ascii="仿宋_GB2312" w:hAnsi="仿宋_GB2312" w:eastAsia="仿宋_GB2312" w:cs="仿宋_GB2312"/>
          <w:color w:val="auto"/>
          <w:kern w:val="2"/>
          <w:sz w:val="32"/>
          <w:szCs w:val="32"/>
          <w:highlight w:val="none"/>
          <w:lang w:val="en-US" w:eastAsia="zh-CN" w:bidi="ar-SA"/>
        </w:rPr>
        <w:t>定期经吸粪车运至大巴口污水处理站</w:t>
      </w:r>
      <w:r>
        <w:rPr>
          <w:rFonts w:hint="eastAsia" w:ascii="仿宋_GB2312" w:eastAsia="仿宋_GB2312"/>
          <w:bCs/>
          <w:sz w:val="32"/>
          <w:szCs w:val="32"/>
        </w:rPr>
        <w:t>处理达标后排放</w:t>
      </w:r>
      <w:r>
        <w:rPr>
          <w:rFonts w:hint="eastAsia" w:ascii="仿宋_GB2312" w:eastAsia="仿宋_GB2312"/>
          <w:bCs/>
          <w:sz w:val="32"/>
          <w:szCs w:val="32"/>
          <w:lang w:eastAsia="zh-CN"/>
        </w:rPr>
        <w:t>，仇坝污水处理站建成后，生产废水和生活废水经管网排入仇坝污水处理站处理达标后排放。</w:t>
      </w:r>
    </w:p>
    <w:p>
      <w:pPr>
        <w:keepNext w:val="0"/>
        <w:keepLines w:val="0"/>
        <w:pageBreakBefore w:val="0"/>
        <w:kinsoku/>
        <w:wordWrap/>
        <w:overflowPunct/>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营运期</w:t>
      </w:r>
      <w:r>
        <w:rPr>
          <w:rFonts w:hint="eastAsia" w:ascii="仿宋_GB2312" w:eastAsia="仿宋_GB2312"/>
          <w:bCs/>
          <w:sz w:val="32"/>
          <w:szCs w:val="32"/>
          <w:lang w:eastAsia="zh-CN"/>
        </w:rPr>
        <w:t>打片粉碎粉尘经集气罩和布袋除尘器除尘后由</w:t>
      </w:r>
      <w:r>
        <w:rPr>
          <w:rFonts w:hint="eastAsia" w:ascii="仿宋_GB2312" w:eastAsia="仿宋_GB2312"/>
          <w:bCs/>
          <w:sz w:val="32"/>
          <w:szCs w:val="32"/>
          <w:lang w:val="en-US" w:eastAsia="zh-CN"/>
        </w:rPr>
        <w:t>15米高（1#）排气筒排放；锅炉废气经脉冲布袋除尘器和水幕除尘器除尘后由30米高（2#）排气筒排放；食堂油烟经抽油烟机处理后排放；污水处理站恶臭通过喷洒生物除臭剂，加强绿化等措施减小恶臭对环境的影响</w:t>
      </w:r>
      <w:r>
        <w:rPr>
          <w:rFonts w:hint="eastAsia" w:ascii="仿宋_GB2312" w:eastAsia="仿宋_GB2312"/>
          <w:bCs/>
          <w:sz w:val="32"/>
          <w:szCs w:val="32"/>
        </w:rPr>
        <w:t>。</w:t>
      </w:r>
    </w:p>
    <w:p>
      <w:pPr>
        <w:keepNext w:val="0"/>
        <w:keepLines w:val="0"/>
        <w:pageBreakBefore w:val="0"/>
        <w:kinsoku/>
        <w:wordWrap/>
        <w:overflowPunct/>
        <w:bidi w:val="0"/>
        <w:adjustRightInd w:val="0"/>
        <w:snapToGrid w:val="0"/>
        <w:spacing w:line="576" w:lineRule="exact"/>
        <w:ind w:firstLine="720" w:firstLineChars="225"/>
        <w:textAlignment w:val="auto"/>
        <w:rPr>
          <w:rFonts w:ascii="黑体" w:hAnsi="黑体" w:eastAsia="黑体" w:cs="黑体"/>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运营期设备噪声采用选用低噪声设备、</w:t>
      </w:r>
      <w:r>
        <w:rPr>
          <w:rFonts w:hint="eastAsia" w:ascii="仿宋_GB2312" w:hAnsi="仿宋_GB2312" w:eastAsia="仿宋_GB2312" w:cs="仿宋_GB2312"/>
          <w:color w:val="000000"/>
          <w:kern w:val="0"/>
          <w:sz w:val="32"/>
          <w:szCs w:val="32"/>
          <w:lang w:eastAsia="zh-CN"/>
        </w:rPr>
        <w:t>合理布置生产设备</w:t>
      </w:r>
      <w:r>
        <w:rPr>
          <w:rFonts w:hint="eastAsia" w:ascii="仿宋_GB2312" w:hAnsi="仿宋_GB2312" w:eastAsia="仿宋_GB2312" w:cs="仿宋_GB2312"/>
          <w:color w:val="000000"/>
          <w:kern w:val="0"/>
          <w:sz w:val="32"/>
          <w:szCs w:val="32"/>
        </w:rPr>
        <w:t>等措施减小噪声对环境的影响。</w:t>
      </w:r>
    </w:p>
    <w:p>
      <w:pPr>
        <w:pStyle w:val="10"/>
        <w:keepNext w:val="0"/>
        <w:keepLines w:val="0"/>
        <w:pageBreakBefore w:val="0"/>
        <w:kinsoku/>
        <w:wordWrap/>
        <w:overflowPunct/>
        <w:topLinePunct/>
        <w:bidi w:val="0"/>
        <w:adjustRightInd w:val="0"/>
        <w:snapToGrid w:val="0"/>
        <w:spacing w:after="0" w:line="576" w:lineRule="exact"/>
        <w:ind w:left="105" w:leftChars="5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rPr>
        <w:t>营运期</w:t>
      </w:r>
      <w:r>
        <w:rPr>
          <w:rFonts w:hint="eastAsia" w:ascii="仿宋_GB2312" w:hAnsi="仿宋_GB2312" w:eastAsia="仿宋_GB2312" w:cs="仿宋_GB2312"/>
          <w:color w:val="000000"/>
          <w:kern w:val="0"/>
          <w:sz w:val="32"/>
          <w:szCs w:val="32"/>
          <w:lang w:eastAsia="zh-CN"/>
        </w:rPr>
        <w:t>锅炉脉冲除尘器灰和水幕除尘沉渣交由搅拌站综合利用</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布袋除尘器灰和蒸馏渣用作原项目生物质颗粒生产线原料；废离子交换树脂滤芯由厂家回收处理；机修含油废物由委托的机修单位带走并妥善处置；</w:t>
      </w:r>
      <w:r>
        <w:rPr>
          <w:rFonts w:hint="eastAsia" w:ascii="仿宋_GB2312" w:hAnsi="仿宋_GB2312" w:eastAsia="仿宋_GB2312" w:cs="仿宋_GB2312"/>
          <w:color w:val="000000"/>
          <w:kern w:val="0"/>
          <w:sz w:val="32"/>
          <w:szCs w:val="32"/>
        </w:rPr>
        <w:t>生活垃圾交环卫部门处置</w:t>
      </w:r>
      <w:r>
        <w:rPr>
          <w:rFonts w:hint="eastAsia" w:ascii="仿宋_GB2312" w:hAnsi="仿宋_GB2312" w:eastAsia="仿宋_GB2312" w:cs="仿宋_GB2312"/>
          <w:color w:val="000000"/>
          <w:kern w:val="0"/>
          <w:sz w:val="32"/>
          <w:szCs w:val="32"/>
          <w:lang w:eastAsia="zh-CN"/>
        </w:rPr>
        <w:t>。</w:t>
      </w:r>
    </w:p>
    <w:p>
      <w:pPr>
        <w:pStyle w:val="24"/>
        <w:keepNext w:val="0"/>
        <w:keepLines w:val="0"/>
        <w:pageBreakBefore w:val="0"/>
        <w:kinsoku/>
        <w:wordWrap/>
        <w:overflowPunct/>
        <w:bidi w:val="0"/>
        <w:spacing w:line="576" w:lineRule="exact"/>
        <w:ind w:firstLine="640"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p>
    <w:p>
      <w:pPr>
        <w:keepNext w:val="0"/>
        <w:keepLines w:val="0"/>
        <w:pageBreakBefore w:val="0"/>
        <w:kinsoku/>
        <w:wordWrap/>
        <w:overflowPunct/>
        <w:bidi w:val="0"/>
        <w:spacing w:line="576"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bidi w:val="0"/>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spacing w:line="576" w:lineRule="exact"/>
        <w:ind w:firstLine="640" w:firstLineChars="200"/>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bidi w:val="0"/>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kinsoku/>
        <w:wordWrap/>
        <w:overflowPunct/>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kinsoku/>
        <w:wordWrap/>
        <w:overflowPunct/>
        <w:bidi w:val="0"/>
        <w:spacing w:line="576"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广元市朝天生态环境局</w:t>
      </w:r>
    </w:p>
    <w:p>
      <w:pPr>
        <w:keepNext w:val="0"/>
        <w:keepLines w:val="0"/>
        <w:pageBreakBefore w:val="0"/>
        <w:kinsoku/>
        <w:wordWrap/>
        <w:overflowPunct/>
        <w:bidi w:val="0"/>
        <w:spacing w:line="576" w:lineRule="exact"/>
        <w:ind w:firstLine="420" w:firstLineChars="200"/>
        <w:jc w:val="center"/>
        <w:textAlignment w:val="auto"/>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pStyle w:val="2"/>
        <w:rPr>
          <w:rFonts w:hint="eastAsia"/>
        </w:rPr>
      </w:pPr>
    </w:p>
    <w:p>
      <w:pPr>
        <w:keepNext w:val="0"/>
        <w:keepLines w:val="0"/>
        <w:pageBreakBefore w:val="0"/>
        <w:pBdr>
          <w:top w:val="single" w:color="auto" w:sz="4" w:space="0"/>
          <w:bottom w:val="single" w:color="auto" w:sz="4" w:space="1"/>
        </w:pBdr>
        <w:kinsoku/>
        <w:wordWrap/>
        <w:overflowPunct/>
        <w:bidi w:val="0"/>
        <w:adjustRightInd w:val="0"/>
        <w:snapToGrid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1AACE"/>
    <w:multiLevelType w:val="singleLevel"/>
    <w:tmpl w:val="B2B1AACE"/>
    <w:lvl w:ilvl="0" w:tentative="0">
      <w:start w:val="4"/>
      <w:numFmt w:val="chineseCounting"/>
      <w:suff w:val="nothing"/>
      <w:lvlText w:val="%1、"/>
      <w:lvlJc w:val="left"/>
      <w:rPr>
        <w:rFonts w:hint="eastAsia" w:cs="Times New Roman"/>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65824"/>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436A97"/>
    <w:rsid w:val="08925C4F"/>
    <w:rsid w:val="08D66BD0"/>
    <w:rsid w:val="098D1B64"/>
    <w:rsid w:val="0A1161D9"/>
    <w:rsid w:val="0A7555DC"/>
    <w:rsid w:val="0A876712"/>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4F01BBE"/>
    <w:rsid w:val="153D14D2"/>
    <w:rsid w:val="15FD7357"/>
    <w:rsid w:val="167B1BF6"/>
    <w:rsid w:val="16876899"/>
    <w:rsid w:val="168B089D"/>
    <w:rsid w:val="171F1561"/>
    <w:rsid w:val="173A5686"/>
    <w:rsid w:val="17407F84"/>
    <w:rsid w:val="177F6998"/>
    <w:rsid w:val="17D626B3"/>
    <w:rsid w:val="17F762A0"/>
    <w:rsid w:val="181B7DE6"/>
    <w:rsid w:val="189B6867"/>
    <w:rsid w:val="189D6327"/>
    <w:rsid w:val="18C766A1"/>
    <w:rsid w:val="191E51B4"/>
    <w:rsid w:val="195F4F34"/>
    <w:rsid w:val="19A72FE3"/>
    <w:rsid w:val="1A5C6E00"/>
    <w:rsid w:val="1ACF384E"/>
    <w:rsid w:val="1B001B89"/>
    <w:rsid w:val="1B1F044F"/>
    <w:rsid w:val="1B3732C8"/>
    <w:rsid w:val="1BC51E83"/>
    <w:rsid w:val="1BED2FB2"/>
    <w:rsid w:val="1C837F86"/>
    <w:rsid w:val="1C9D21A0"/>
    <w:rsid w:val="1CDD48D0"/>
    <w:rsid w:val="1D52473B"/>
    <w:rsid w:val="1E9754C8"/>
    <w:rsid w:val="1F5E7373"/>
    <w:rsid w:val="1F992762"/>
    <w:rsid w:val="20514AA1"/>
    <w:rsid w:val="21C55182"/>
    <w:rsid w:val="21F80C48"/>
    <w:rsid w:val="221A326E"/>
    <w:rsid w:val="222552F5"/>
    <w:rsid w:val="22937E11"/>
    <w:rsid w:val="22A0185A"/>
    <w:rsid w:val="23AD2B77"/>
    <w:rsid w:val="23E25B62"/>
    <w:rsid w:val="25664D89"/>
    <w:rsid w:val="25B01373"/>
    <w:rsid w:val="25D17832"/>
    <w:rsid w:val="25E00DBB"/>
    <w:rsid w:val="264B7B6B"/>
    <w:rsid w:val="26517A3D"/>
    <w:rsid w:val="26C37B54"/>
    <w:rsid w:val="26D331FC"/>
    <w:rsid w:val="27141EF2"/>
    <w:rsid w:val="272607B6"/>
    <w:rsid w:val="276617FF"/>
    <w:rsid w:val="288D1AB3"/>
    <w:rsid w:val="28FF6D32"/>
    <w:rsid w:val="29282477"/>
    <w:rsid w:val="29311CAA"/>
    <w:rsid w:val="2A122030"/>
    <w:rsid w:val="2AA02B62"/>
    <w:rsid w:val="2B1A3A80"/>
    <w:rsid w:val="2B966D1F"/>
    <w:rsid w:val="2BF25BF9"/>
    <w:rsid w:val="2C6D1074"/>
    <w:rsid w:val="2D023068"/>
    <w:rsid w:val="2D2E0CE1"/>
    <w:rsid w:val="2D3C359C"/>
    <w:rsid w:val="2D822483"/>
    <w:rsid w:val="2DEE7E71"/>
    <w:rsid w:val="2DF1249D"/>
    <w:rsid w:val="2DF62856"/>
    <w:rsid w:val="2E0E6998"/>
    <w:rsid w:val="2F916406"/>
    <w:rsid w:val="306053D4"/>
    <w:rsid w:val="30AA79E3"/>
    <w:rsid w:val="30D85B79"/>
    <w:rsid w:val="3122326B"/>
    <w:rsid w:val="31624F40"/>
    <w:rsid w:val="31625138"/>
    <w:rsid w:val="329C73FC"/>
    <w:rsid w:val="32BA1485"/>
    <w:rsid w:val="330D3AE3"/>
    <w:rsid w:val="33887023"/>
    <w:rsid w:val="33D257BB"/>
    <w:rsid w:val="344E1858"/>
    <w:rsid w:val="347D11BC"/>
    <w:rsid w:val="34AA3514"/>
    <w:rsid w:val="34D437BF"/>
    <w:rsid w:val="34E41E3C"/>
    <w:rsid w:val="34F879AD"/>
    <w:rsid w:val="3527484B"/>
    <w:rsid w:val="358025C6"/>
    <w:rsid w:val="35941AF7"/>
    <w:rsid w:val="35B62916"/>
    <w:rsid w:val="35BF0B94"/>
    <w:rsid w:val="364D19AB"/>
    <w:rsid w:val="370657B5"/>
    <w:rsid w:val="37200A3C"/>
    <w:rsid w:val="377A71E8"/>
    <w:rsid w:val="380B74E7"/>
    <w:rsid w:val="381000C8"/>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D1E1F06"/>
    <w:rsid w:val="3E2A631E"/>
    <w:rsid w:val="3F634034"/>
    <w:rsid w:val="3F967FD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FC67E2"/>
    <w:rsid w:val="49FF745A"/>
    <w:rsid w:val="4A480F2C"/>
    <w:rsid w:val="4A823F30"/>
    <w:rsid w:val="4A8503F4"/>
    <w:rsid w:val="4AE737D3"/>
    <w:rsid w:val="4B186673"/>
    <w:rsid w:val="4B46616A"/>
    <w:rsid w:val="4B601C17"/>
    <w:rsid w:val="4B6771DC"/>
    <w:rsid w:val="4C083CDE"/>
    <w:rsid w:val="4CEF4AC5"/>
    <w:rsid w:val="4D817FDE"/>
    <w:rsid w:val="4DE34A04"/>
    <w:rsid w:val="4E1D5F80"/>
    <w:rsid w:val="4E2E23CE"/>
    <w:rsid w:val="4E735404"/>
    <w:rsid w:val="4ED91C2A"/>
    <w:rsid w:val="4F730012"/>
    <w:rsid w:val="4FC846B1"/>
    <w:rsid w:val="50167B55"/>
    <w:rsid w:val="503D6D5E"/>
    <w:rsid w:val="509323FB"/>
    <w:rsid w:val="516A0B6A"/>
    <w:rsid w:val="51B13654"/>
    <w:rsid w:val="51C66A3A"/>
    <w:rsid w:val="5249703F"/>
    <w:rsid w:val="52845E35"/>
    <w:rsid w:val="529816B1"/>
    <w:rsid w:val="53C76FA6"/>
    <w:rsid w:val="541C24E8"/>
    <w:rsid w:val="541C6A70"/>
    <w:rsid w:val="543D092A"/>
    <w:rsid w:val="5450342F"/>
    <w:rsid w:val="55072F9E"/>
    <w:rsid w:val="55B542E5"/>
    <w:rsid w:val="55FD60FB"/>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477925"/>
    <w:rsid w:val="5DD066F8"/>
    <w:rsid w:val="5DDE15F2"/>
    <w:rsid w:val="5EF85DB9"/>
    <w:rsid w:val="5FBB70AE"/>
    <w:rsid w:val="5FD15DAD"/>
    <w:rsid w:val="602C19FE"/>
    <w:rsid w:val="60994B70"/>
    <w:rsid w:val="609B273A"/>
    <w:rsid w:val="610F323B"/>
    <w:rsid w:val="618D6288"/>
    <w:rsid w:val="61BC4E73"/>
    <w:rsid w:val="61D303AE"/>
    <w:rsid w:val="624D3575"/>
    <w:rsid w:val="633C2122"/>
    <w:rsid w:val="634A7E2B"/>
    <w:rsid w:val="638406CA"/>
    <w:rsid w:val="643B3886"/>
    <w:rsid w:val="649151B7"/>
    <w:rsid w:val="64CB0F4A"/>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C21025C"/>
    <w:rsid w:val="6C7B4E88"/>
    <w:rsid w:val="6D044D10"/>
    <w:rsid w:val="6D706F98"/>
    <w:rsid w:val="6E1B2C63"/>
    <w:rsid w:val="6F7A7E5B"/>
    <w:rsid w:val="6FF8397D"/>
    <w:rsid w:val="707112A9"/>
    <w:rsid w:val="70A614AE"/>
    <w:rsid w:val="7179226F"/>
    <w:rsid w:val="726D57D3"/>
    <w:rsid w:val="72B558C0"/>
    <w:rsid w:val="731D1188"/>
    <w:rsid w:val="73252B3A"/>
    <w:rsid w:val="73D1250E"/>
    <w:rsid w:val="740A3C72"/>
    <w:rsid w:val="74242807"/>
    <w:rsid w:val="749624A9"/>
    <w:rsid w:val="74D318B4"/>
    <w:rsid w:val="75B54849"/>
    <w:rsid w:val="75D12628"/>
    <w:rsid w:val="76FC7705"/>
    <w:rsid w:val="77C709BD"/>
    <w:rsid w:val="78C15AFB"/>
    <w:rsid w:val="79B84C4B"/>
    <w:rsid w:val="79DA436A"/>
    <w:rsid w:val="7B096E3A"/>
    <w:rsid w:val="7B313DE8"/>
    <w:rsid w:val="7B4F0E4F"/>
    <w:rsid w:val="7BB40A45"/>
    <w:rsid w:val="7C1A38BE"/>
    <w:rsid w:val="7C2F691E"/>
    <w:rsid w:val="7C31795D"/>
    <w:rsid w:val="7C753435"/>
    <w:rsid w:val="7C956B67"/>
    <w:rsid w:val="7D040672"/>
    <w:rsid w:val="7D3A065F"/>
    <w:rsid w:val="7D922298"/>
    <w:rsid w:val="7EF470EE"/>
    <w:rsid w:val="7EFE1E42"/>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1127</Characters>
  <Lines>9</Lines>
  <Paragraphs>2</Paragraphs>
  <TotalTime>6</TotalTime>
  <ScaleCrop>false</ScaleCrop>
  <LinksUpToDate>false</LinksUpToDate>
  <CharactersWithSpaces>1322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2021-05-13T09:37:15Z</cp:lastPrinted>
  <dcterms:modified xsi:type="dcterms:W3CDTF">2021-05-13T09:37:19Z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DF1112F441BA4781BDB47BE9564AF492</vt:lpwstr>
  </property>
</Properties>
</file>