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color w:val="auto"/>
          <w:sz w:val="36"/>
          <w:szCs w:val="36"/>
        </w:rPr>
      </w:pPr>
      <w:bookmarkStart w:id="0" w:name="_Hlk57883707"/>
    </w:p>
    <w:p>
      <w:pPr>
        <w:rPr>
          <w:rFonts w:eastAsia="仿宋_GB2312"/>
          <w:color w:val="auto"/>
          <w:sz w:val="36"/>
          <w:szCs w:val="36"/>
        </w:rPr>
      </w:pPr>
    </w:p>
    <w:p>
      <w:pPr>
        <w:rPr>
          <w:rFonts w:eastAsia="仿宋_GB2312"/>
          <w:color w:val="auto"/>
          <w:sz w:val="36"/>
          <w:szCs w:val="36"/>
        </w:rPr>
      </w:pPr>
    </w:p>
    <w:p>
      <w:pPr>
        <w:rPr>
          <w:rFonts w:eastAsia="仿宋_GB2312"/>
          <w:color w:val="auto"/>
          <w:sz w:val="36"/>
          <w:szCs w:val="36"/>
        </w:rPr>
      </w:pPr>
    </w:p>
    <w:bookmarkEnd w:id="0"/>
    <w:p>
      <w:pPr>
        <w:adjustRightInd w:val="0"/>
        <w:snapToGrid w:val="0"/>
        <w:jc w:val="center"/>
        <w:outlineLvl w:val="0"/>
        <w:rPr>
          <w:rFonts w:eastAsia="方正小标宋_GBK"/>
          <w:bCs/>
          <w:color w:val="auto"/>
          <w:sz w:val="72"/>
          <w:szCs w:val="72"/>
        </w:rPr>
      </w:pPr>
      <w:r>
        <w:rPr>
          <w:rFonts w:eastAsia="方正小标宋_GBK"/>
          <w:bCs/>
          <w:color w:val="auto"/>
          <w:sz w:val="72"/>
          <w:szCs w:val="72"/>
        </w:rPr>
        <w:t>建设项目环境影响报告表</w:t>
      </w:r>
    </w:p>
    <w:p>
      <w:pPr>
        <w:adjustRightInd w:val="0"/>
        <w:snapToGrid w:val="0"/>
        <w:spacing w:before="192" w:beforeLines="80"/>
        <w:jc w:val="center"/>
        <w:rPr>
          <w:rFonts w:eastAsia="楷体_GB2312"/>
          <w:bCs/>
          <w:color w:val="auto"/>
          <w:sz w:val="48"/>
          <w:szCs w:val="48"/>
        </w:rPr>
      </w:pPr>
      <w:r>
        <w:rPr>
          <w:rFonts w:eastAsia="楷体_GB2312"/>
          <w:bCs/>
          <w:color w:val="auto"/>
          <w:sz w:val="48"/>
          <w:szCs w:val="48"/>
        </w:rPr>
        <w:t>（生态影响类）</w:t>
      </w:r>
    </w:p>
    <w:p>
      <w:pPr>
        <w:adjustRightInd w:val="0"/>
        <w:snapToGrid w:val="0"/>
        <w:spacing w:before="192" w:beforeLines="80"/>
        <w:jc w:val="center"/>
        <w:rPr>
          <w:rFonts w:hint="eastAsia" w:eastAsia="楷体_GB2312"/>
          <w:bCs/>
          <w:color w:val="auto"/>
          <w:sz w:val="48"/>
          <w:szCs w:val="48"/>
          <w:lang w:eastAsia="zh-CN"/>
        </w:rPr>
      </w:pPr>
      <w:r>
        <w:rPr>
          <w:rFonts w:hint="eastAsia" w:eastAsia="楷体_GB2312"/>
          <w:bCs/>
          <w:color w:val="auto"/>
          <w:sz w:val="48"/>
          <w:szCs w:val="48"/>
          <w:lang w:eastAsia="zh-CN"/>
        </w:rPr>
        <w:t>（</w:t>
      </w:r>
      <w:r>
        <w:rPr>
          <w:rFonts w:hint="eastAsia" w:eastAsia="楷体_GB2312"/>
          <w:bCs/>
          <w:color w:val="auto"/>
          <w:sz w:val="48"/>
          <w:szCs w:val="48"/>
          <w:lang w:val="en-US" w:eastAsia="zh-CN"/>
        </w:rPr>
        <w:t>公示</w:t>
      </w:r>
      <w:bookmarkStart w:id="15" w:name="_GoBack"/>
      <w:bookmarkEnd w:id="15"/>
      <w:r>
        <w:rPr>
          <w:rFonts w:hint="eastAsia" w:eastAsia="楷体_GB2312"/>
          <w:bCs/>
          <w:color w:val="auto"/>
          <w:sz w:val="48"/>
          <w:szCs w:val="48"/>
          <w:lang w:val="en-US" w:eastAsia="zh-CN"/>
        </w:rPr>
        <w:t>本</w:t>
      </w:r>
      <w:r>
        <w:rPr>
          <w:rFonts w:hint="eastAsia" w:eastAsia="楷体_GB2312"/>
          <w:bCs/>
          <w:color w:val="auto"/>
          <w:sz w:val="48"/>
          <w:szCs w:val="48"/>
          <w:lang w:eastAsia="zh-CN"/>
        </w:rPr>
        <w:t>）</w:t>
      </w:r>
    </w:p>
    <w:p>
      <w:pPr>
        <w:adjustRightInd w:val="0"/>
        <w:snapToGrid w:val="0"/>
        <w:spacing w:line="288" w:lineRule="auto"/>
        <w:jc w:val="center"/>
        <w:rPr>
          <w:rFonts w:eastAsia="华文仿宋"/>
          <w:color w:val="auto"/>
          <w:kern w:val="44"/>
          <w:sz w:val="44"/>
          <w:szCs w:val="44"/>
        </w:rPr>
      </w:pPr>
      <w:bookmarkStart w:id="1" w:name="_Hlk57883728"/>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bookmarkEnd w:id="1"/>
    <w:p>
      <w:pPr>
        <w:adjustRightInd w:val="0"/>
        <w:snapToGrid w:val="0"/>
        <w:spacing w:line="288" w:lineRule="auto"/>
        <w:rPr>
          <w:color w:val="auto"/>
          <w:sz w:val="36"/>
          <w:szCs w:val="36"/>
          <w:u w:val="single"/>
        </w:rPr>
      </w:pPr>
      <w:r>
        <w:rPr>
          <w:color w:val="auto"/>
          <w:sz w:val="36"/>
          <w:szCs w:val="36"/>
        </w:rPr>
        <w:t>项目名称：</w:t>
      </w:r>
      <w:r>
        <w:rPr>
          <w:color w:val="auto"/>
          <w:sz w:val="36"/>
          <w:szCs w:val="36"/>
          <w:u w:val="single"/>
        </w:rPr>
        <w:t xml:space="preserve">       四川省朝天区广坪河羊木段      </w:t>
      </w:r>
    </w:p>
    <w:p>
      <w:pPr>
        <w:adjustRightInd w:val="0"/>
        <w:snapToGrid w:val="0"/>
        <w:spacing w:line="288" w:lineRule="auto"/>
        <w:ind w:left="2745" w:leftChars="450" w:hanging="1800" w:hangingChars="500"/>
        <w:rPr>
          <w:color w:val="auto"/>
          <w:sz w:val="36"/>
          <w:szCs w:val="36"/>
          <w:u w:val="single"/>
        </w:rPr>
      </w:pPr>
      <w:r>
        <w:rPr>
          <w:color w:val="auto"/>
          <w:sz w:val="36"/>
          <w:szCs w:val="36"/>
        </w:rPr>
        <w:t xml:space="preserve">     </w:t>
      </w:r>
      <w:r>
        <w:rPr>
          <w:color w:val="auto"/>
          <w:sz w:val="36"/>
          <w:szCs w:val="36"/>
          <w:u w:val="single"/>
        </w:rPr>
        <w:t xml:space="preserve">            防洪治理工程             </w:t>
      </w:r>
    </w:p>
    <w:p>
      <w:pPr>
        <w:adjustRightInd w:val="0"/>
        <w:snapToGrid w:val="0"/>
        <w:spacing w:line="288" w:lineRule="auto"/>
        <w:jc w:val="left"/>
        <w:rPr>
          <w:color w:val="auto"/>
          <w:sz w:val="36"/>
          <w:szCs w:val="36"/>
          <w:u w:val="single"/>
        </w:rPr>
      </w:pPr>
      <w:r>
        <w:rPr>
          <w:color w:val="auto"/>
          <w:sz w:val="36"/>
          <w:szCs w:val="36"/>
        </w:rPr>
        <w:t>建设单位（盖章）：</w:t>
      </w:r>
      <w:r>
        <w:rPr>
          <w:color w:val="auto"/>
          <w:sz w:val="36"/>
          <w:szCs w:val="36"/>
          <w:u w:val="single"/>
        </w:rPr>
        <w:t xml:space="preserve">  广元市朝天区水利工程建设管理站 </w:t>
      </w:r>
    </w:p>
    <w:p>
      <w:pPr>
        <w:adjustRightInd w:val="0"/>
        <w:snapToGrid w:val="0"/>
        <w:spacing w:line="288" w:lineRule="auto"/>
        <w:ind w:firstLine="1040"/>
        <w:jc w:val="left"/>
        <w:rPr>
          <w:color w:val="auto"/>
          <w:sz w:val="36"/>
          <w:szCs w:val="36"/>
          <w:u w:val="single"/>
        </w:rPr>
      </w:pPr>
      <w:r>
        <w:rPr>
          <w:color w:val="auto"/>
          <w:sz w:val="36"/>
          <w:szCs w:val="36"/>
        </w:rPr>
        <w:t>编制日期：</w:t>
      </w:r>
      <w:r>
        <w:rPr>
          <w:color w:val="auto"/>
          <w:sz w:val="36"/>
          <w:szCs w:val="36"/>
          <w:u w:val="single"/>
        </w:rPr>
        <w:t xml:space="preserve">         202</w:t>
      </w:r>
      <w:r>
        <w:rPr>
          <w:rFonts w:hint="eastAsia"/>
          <w:color w:val="auto"/>
          <w:sz w:val="36"/>
          <w:szCs w:val="36"/>
          <w:u w:val="single"/>
          <w:lang w:val="en-US" w:eastAsia="zh-CN"/>
        </w:rPr>
        <w:t>4</w:t>
      </w:r>
      <w:r>
        <w:rPr>
          <w:color w:val="auto"/>
          <w:sz w:val="36"/>
          <w:szCs w:val="36"/>
          <w:u w:val="single"/>
        </w:rPr>
        <w:t>年</w:t>
      </w:r>
      <w:r>
        <w:rPr>
          <w:rFonts w:hint="eastAsia"/>
          <w:color w:val="auto"/>
          <w:sz w:val="36"/>
          <w:szCs w:val="36"/>
          <w:u w:val="single"/>
          <w:lang w:val="en-US" w:eastAsia="zh-CN"/>
        </w:rPr>
        <w:t>2</w:t>
      </w:r>
      <w:r>
        <w:rPr>
          <w:color w:val="auto"/>
          <w:sz w:val="36"/>
          <w:szCs w:val="36"/>
          <w:u w:val="single"/>
        </w:rPr>
        <w:t xml:space="preserve">月             </w:t>
      </w:r>
    </w:p>
    <w:p>
      <w:pPr>
        <w:adjustRightInd w:val="0"/>
        <w:snapToGrid w:val="0"/>
        <w:spacing w:line="288" w:lineRule="auto"/>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jc w:val="center"/>
        <w:rPr>
          <w:rFonts w:eastAsia="楷体_GB2312"/>
          <w:color w:val="auto"/>
          <w:sz w:val="36"/>
          <w:szCs w:val="36"/>
        </w:rPr>
      </w:pPr>
      <w:r>
        <w:rPr>
          <w:rFonts w:eastAsia="楷体_GB2312"/>
          <w:color w:val="auto"/>
          <w:sz w:val="36"/>
          <w:szCs w:val="36"/>
        </w:rPr>
        <w:t>中华人民共和国生态环境部制</w:t>
      </w:r>
    </w:p>
    <w:p>
      <w:pPr>
        <w:adjustRightInd w:val="0"/>
        <w:snapToGrid w:val="0"/>
        <w:spacing w:line="288" w:lineRule="auto"/>
        <w:ind w:firstLine="1040"/>
        <w:rPr>
          <w:rFonts w:eastAsia="仿宋_GB2312"/>
          <w:color w:val="auto"/>
          <w:sz w:val="36"/>
          <w:szCs w:val="36"/>
        </w:rPr>
        <w:sectPr>
          <w:headerReference r:id="rId3" w:type="default"/>
          <w:footerReference r:id="rId5" w:type="default"/>
          <w:headerReference r:id="rId4" w:type="even"/>
          <w:footerReference r:id="rId6" w:type="even"/>
          <w:pgSz w:w="11906" w:h="16838"/>
          <w:pgMar w:top="1701" w:right="1531" w:bottom="1701" w:left="1531" w:header="851" w:footer="1077" w:gutter="0"/>
          <w:pgNumType w:start="21"/>
          <w:cols w:space="720" w:num="1"/>
          <w:docGrid w:linePitch="312" w:charSpace="0"/>
        </w:sectPr>
      </w:pPr>
    </w:p>
    <w:p>
      <w:pPr>
        <w:pStyle w:val="3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一、建设项目基本情况</w:t>
      </w:r>
    </w:p>
    <w:tbl>
      <w:tblPr>
        <w:tblStyle w:val="36"/>
        <w:tblW w:w="9714" w:type="dxa"/>
        <w:tblInd w:w="-268"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09"/>
        <w:gridCol w:w="850"/>
        <w:gridCol w:w="2005"/>
        <w:gridCol w:w="2541"/>
        <w:gridCol w:w="15"/>
        <w:gridCol w:w="31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959" w:type="dxa"/>
            <w:gridSpan w:val="2"/>
            <w:shd w:val="clear" w:color="auto" w:fill="auto"/>
            <w:tcMar>
              <w:top w:w="16" w:type="dxa"/>
              <w:left w:w="16" w:type="dxa"/>
              <w:right w:w="16" w:type="dxa"/>
            </w:tcMar>
            <w:vAlign w:val="center"/>
          </w:tcPr>
          <w:p>
            <w:pPr>
              <w:adjustRightInd w:val="0"/>
              <w:snapToGrid w:val="0"/>
              <w:jc w:val="center"/>
              <w:rPr>
                <w:color w:val="auto"/>
                <w:sz w:val="24"/>
              </w:rPr>
            </w:pPr>
            <w:r>
              <w:rPr>
                <w:color w:val="auto"/>
                <w:sz w:val="24"/>
              </w:rPr>
              <w:t>建设项目名称</w:t>
            </w:r>
          </w:p>
        </w:tc>
        <w:tc>
          <w:tcPr>
            <w:tcW w:w="7755" w:type="dxa"/>
            <w:gridSpan w:val="4"/>
            <w:shd w:val="clear" w:color="auto" w:fill="auto"/>
            <w:vAlign w:val="center"/>
          </w:tcPr>
          <w:p>
            <w:pPr>
              <w:adjustRightInd w:val="0"/>
              <w:snapToGrid w:val="0"/>
              <w:jc w:val="center"/>
              <w:rPr>
                <w:color w:val="auto"/>
                <w:sz w:val="24"/>
              </w:rPr>
            </w:pPr>
            <w:r>
              <w:rPr>
                <w:color w:val="auto"/>
                <w:sz w:val="24"/>
              </w:rPr>
              <w:t>四川省朝天区广坪河羊木段防洪治理工程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55" w:hRule="atLeast"/>
        </w:trPr>
        <w:tc>
          <w:tcPr>
            <w:tcW w:w="1959" w:type="dxa"/>
            <w:gridSpan w:val="2"/>
            <w:shd w:val="clear" w:color="auto" w:fill="auto"/>
            <w:tcMar>
              <w:top w:w="16" w:type="dxa"/>
              <w:left w:w="16" w:type="dxa"/>
              <w:right w:w="16" w:type="dxa"/>
            </w:tcMar>
            <w:vAlign w:val="center"/>
          </w:tcPr>
          <w:p>
            <w:pPr>
              <w:adjustRightInd w:val="0"/>
              <w:snapToGrid w:val="0"/>
              <w:jc w:val="center"/>
              <w:rPr>
                <w:color w:val="auto"/>
                <w:sz w:val="24"/>
              </w:rPr>
            </w:pPr>
            <w:r>
              <w:rPr>
                <w:color w:val="auto"/>
                <w:sz w:val="24"/>
              </w:rPr>
              <w:t>项目代码</w:t>
            </w:r>
          </w:p>
        </w:tc>
        <w:tc>
          <w:tcPr>
            <w:tcW w:w="7755" w:type="dxa"/>
            <w:gridSpan w:val="4"/>
            <w:shd w:val="clear" w:color="auto" w:fill="auto"/>
            <w:vAlign w:val="center"/>
          </w:tcPr>
          <w:p>
            <w:pPr>
              <w:adjustRightInd w:val="0"/>
              <w:snapToGrid w:val="0"/>
              <w:jc w:val="center"/>
              <w:rPr>
                <w:color w:val="auto"/>
                <w:szCs w:val="21"/>
              </w:rPr>
            </w:pPr>
            <w:r>
              <w:rPr>
                <w:color w:val="auto"/>
                <w:sz w:val="24"/>
              </w:rPr>
              <w:t>2020-510812-76-01-500439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959" w:type="dxa"/>
            <w:gridSpan w:val="2"/>
            <w:shd w:val="clear" w:color="auto" w:fill="auto"/>
            <w:tcMar>
              <w:top w:w="16" w:type="dxa"/>
              <w:left w:w="16" w:type="dxa"/>
              <w:right w:w="16" w:type="dxa"/>
            </w:tcMar>
            <w:vAlign w:val="center"/>
          </w:tcPr>
          <w:p>
            <w:pPr>
              <w:adjustRightInd w:val="0"/>
              <w:snapToGrid w:val="0"/>
              <w:jc w:val="center"/>
              <w:rPr>
                <w:color w:val="auto"/>
                <w:sz w:val="24"/>
              </w:rPr>
            </w:pPr>
            <w:r>
              <w:rPr>
                <w:color w:val="auto"/>
                <w:sz w:val="24"/>
              </w:rPr>
              <w:t>建设单位联系人</w:t>
            </w:r>
          </w:p>
        </w:tc>
        <w:tc>
          <w:tcPr>
            <w:tcW w:w="2005" w:type="dxa"/>
            <w:shd w:val="clear" w:color="auto" w:fill="auto"/>
            <w:vAlign w:val="center"/>
          </w:tcPr>
          <w:p>
            <w:pPr>
              <w:adjustRightInd w:val="0"/>
              <w:snapToGrid w:val="0"/>
              <w:jc w:val="center"/>
              <w:rPr>
                <w:rFonts w:hint="default" w:eastAsia="宋体"/>
                <w:color w:val="auto"/>
                <w:szCs w:val="21"/>
                <w:lang w:val="en-US" w:eastAsia="zh-CN"/>
              </w:rPr>
            </w:pPr>
            <w:r>
              <w:rPr>
                <w:rFonts w:hint="eastAsia"/>
                <w:color w:val="auto"/>
                <w:sz w:val="24"/>
                <w:lang w:val="en-US" w:eastAsia="zh-CN"/>
              </w:rPr>
              <w:t>**</w:t>
            </w:r>
          </w:p>
        </w:tc>
        <w:tc>
          <w:tcPr>
            <w:tcW w:w="2556" w:type="dxa"/>
            <w:gridSpan w:val="2"/>
            <w:shd w:val="clear" w:color="auto" w:fill="auto"/>
            <w:vAlign w:val="center"/>
          </w:tcPr>
          <w:p>
            <w:pPr>
              <w:adjustRightInd w:val="0"/>
              <w:snapToGrid w:val="0"/>
              <w:jc w:val="center"/>
              <w:rPr>
                <w:color w:val="auto"/>
                <w:sz w:val="24"/>
              </w:rPr>
            </w:pPr>
            <w:r>
              <w:rPr>
                <w:color w:val="auto"/>
                <w:sz w:val="24"/>
              </w:rPr>
              <w:t>联系方式</w:t>
            </w:r>
          </w:p>
        </w:tc>
        <w:tc>
          <w:tcPr>
            <w:tcW w:w="3194" w:type="dxa"/>
            <w:shd w:val="clear" w:color="auto" w:fill="auto"/>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959" w:type="dxa"/>
            <w:gridSpan w:val="2"/>
            <w:shd w:val="clear" w:color="auto" w:fill="auto"/>
            <w:tcMar>
              <w:top w:w="16" w:type="dxa"/>
              <w:left w:w="16" w:type="dxa"/>
              <w:right w:w="16" w:type="dxa"/>
            </w:tcMar>
            <w:vAlign w:val="center"/>
          </w:tcPr>
          <w:p>
            <w:pPr>
              <w:adjustRightInd w:val="0"/>
              <w:snapToGrid w:val="0"/>
              <w:jc w:val="center"/>
              <w:rPr>
                <w:color w:val="auto"/>
                <w:sz w:val="24"/>
              </w:rPr>
            </w:pPr>
            <w:r>
              <w:rPr>
                <w:color w:val="auto"/>
                <w:sz w:val="24"/>
              </w:rPr>
              <w:t>建设地点</w:t>
            </w:r>
          </w:p>
        </w:tc>
        <w:tc>
          <w:tcPr>
            <w:tcW w:w="7755" w:type="dxa"/>
            <w:gridSpan w:val="4"/>
            <w:shd w:val="clear" w:color="auto" w:fill="auto"/>
            <w:vAlign w:val="center"/>
          </w:tcPr>
          <w:p>
            <w:pPr>
              <w:adjustRightInd w:val="0"/>
              <w:snapToGrid w:val="0"/>
              <w:jc w:val="center"/>
              <w:rPr>
                <w:color w:val="auto"/>
                <w:sz w:val="24"/>
              </w:rPr>
            </w:pPr>
            <w:r>
              <w:rPr>
                <w:color w:val="auto"/>
                <w:sz w:val="24"/>
              </w:rPr>
              <w:t>广元市朝天区朝天镇境内、广坪河下游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959" w:type="dxa"/>
            <w:gridSpan w:val="2"/>
            <w:shd w:val="clear" w:color="auto" w:fill="auto"/>
            <w:tcMar>
              <w:top w:w="16" w:type="dxa"/>
              <w:left w:w="16" w:type="dxa"/>
              <w:right w:w="16" w:type="dxa"/>
            </w:tcMar>
            <w:vAlign w:val="center"/>
          </w:tcPr>
          <w:p>
            <w:pPr>
              <w:adjustRightInd w:val="0"/>
              <w:snapToGrid w:val="0"/>
              <w:jc w:val="center"/>
              <w:rPr>
                <w:color w:val="auto"/>
                <w:sz w:val="24"/>
              </w:rPr>
            </w:pPr>
            <w:r>
              <w:rPr>
                <w:color w:val="auto"/>
                <w:sz w:val="24"/>
              </w:rPr>
              <w:t>地理坐标</w:t>
            </w:r>
          </w:p>
        </w:tc>
        <w:tc>
          <w:tcPr>
            <w:tcW w:w="7755" w:type="dxa"/>
            <w:gridSpan w:val="4"/>
            <w:shd w:val="clear" w:color="auto" w:fill="auto"/>
            <w:vAlign w:val="center"/>
          </w:tcPr>
          <w:p>
            <w:pPr>
              <w:adjustRightInd w:val="0"/>
              <w:snapToGrid w:val="0"/>
              <w:jc w:val="center"/>
              <w:rPr>
                <w:color w:val="auto"/>
                <w:sz w:val="24"/>
              </w:rPr>
            </w:pPr>
            <w:r>
              <w:rPr>
                <w:color w:val="auto"/>
                <w:sz w:val="24"/>
              </w:rPr>
              <w:t>起点坐标：</w:t>
            </w:r>
            <w:r>
              <w:rPr>
                <w:color w:val="auto"/>
                <w:sz w:val="24"/>
                <w:u w:val="single"/>
              </w:rPr>
              <w:t>105度51分18.000秒，32度36分49.000秒</w:t>
            </w:r>
            <w:r>
              <w:rPr>
                <w:color w:val="auto"/>
                <w:sz w:val="24"/>
              </w:rPr>
              <w:t>，</w:t>
            </w:r>
          </w:p>
          <w:p>
            <w:pPr>
              <w:adjustRightInd w:val="0"/>
              <w:snapToGrid w:val="0"/>
              <w:jc w:val="center"/>
              <w:rPr>
                <w:color w:val="auto"/>
                <w:sz w:val="24"/>
              </w:rPr>
            </w:pPr>
            <w:r>
              <w:rPr>
                <w:color w:val="auto"/>
                <w:sz w:val="24"/>
              </w:rPr>
              <w:t>终点坐标：</w:t>
            </w:r>
            <w:r>
              <w:rPr>
                <w:color w:val="auto"/>
                <w:sz w:val="24"/>
                <w:u w:val="single"/>
              </w:rPr>
              <w:t>105度48分39.000秒，32度37分0.000秒</w:t>
            </w: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959" w:type="dxa"/>
            <w:gridSpan w:val="2"/>
            <w:shd w:val="clear" w:color="auto" w:fill="auto"/>
            <w:tcMar>
              <w:top w:w="16" w:type="dxa"/>
              <w:left w:w="16" w:type="dxa"/>
              <w:right w:w="16" w:type="dxa"/>
            </w:tcMar>
            <w:vAlign w:val="center"/>
          </w:tcPr>
          <w:p>
            <w:pPr>
              <w:adjustRightInd w:val="0"/>
              <w:snapToGrid w:val="0"/>
              <w:jc w:val="center"/>
              <w:rPr>
                <w:color w:val="auto"/>
                <w:sz w:val="24"/>
              </w:rPr>
            </w:pPr>
            <w:r>
              <w:rPr>
                <w:color w:val="auto"/>
                <w:sz w:val="24"/>
              </w:rPr>
              <w:t>建设项目</w:t>
            </w:r>
          </w:p>
          <w:p>
            <w:pPr>
              <w:adjustRightInd w:val="0"/>
              <w:snapToGrid w:val="0"/>
              <w:jc w:val="center"/>
              <w:rPr>
                <w:color w:val="auto"/>
                <w:sz w:val="24"/>
              </w:rPr>
            </w:pPr>
            <w:r>
              <w:rPr>
                <w:color w:val="auto"/>
                <w:sz w:val="24"/>
              </w:rPr>
              <w:t>行业类别</w:t>
            </w:r>
          </w:p>
        </w:tc>
        <w:tc>
          <w:tcPr>
            <w:tcW w:w="2005" w:type="dxa"/>
            <w:shd w:val="clear" w:color="auto" w:fill="auto"/>
            <w:vAlign w:val="center"/>
          </w:tcPr>
          <w:p>
            <w:pPr>
              <w:adjustRightInd w:val="0"/>
              <w:snapToGrid w:val="0"/>
              <w:rPr>
                <w:color w:val="auto"/>
                <w:sz w:val="24"/>
              </w:rPr>
            </w:pPr>
            <w:r>
              <w:rPr>
                <w:color w:val="auto"/>
                <w:sz w:val="24"/>
              </w:rPr>
              <w:t>五十一、水利-127防洪除涝工程-其他（小型沟渠的护坡除外；城镇排涝河流水闸、排涝泵站除外）</w:t>
            </w:r>
          </w:p>
        </w:tc>
        <w:tc>
          <w:tcPr>
            <w:tcW w:w="2541" w:type="dxa"/>
            <w:shd w:val="clear" w:color="auto" w:fill="auto"/>
            <w:vAlign w:val="center"/>
          </w:tcPr>
          <w:p>
            <w:pPr>
              <w:adjustRightInd w:val="0"/>
              <w:snapToGrid w:val="0"/>
              <w:jc w:val="center"/>
              <w:rPr>
                <w:color w:val="auto"/>
                <w:sz w:val="24"/>
              </w:rPr>
            </w:pPr>
            <w:r>
              <w:rPr>
                <w:color w:val="auto"/>
                <w:sz w:val="24"/>
              </w:rPr>
              <w:t>用地（用海）面积（m</w:t>
            </w:r>
            <w:r>
              <w:rPr>
                <w:color w:val="auto"/>
                <w:sz w:val="24"/>
                <w:vertAlign w:val="superscript"/>
              </w:rPr>
              <w:t>2</w:t>
            </w:r>
            <w:r>
              <w:rPr>
                <w:color w:val="auto"/>
                <w:sz w:val="24"/>
              </w:rPr>
              <w:t>）/长度（km）</w:t>
            </w:r>
          </w:p>
        </w:tc>
        <w:tc>
          <w:tcPr>
            <w:tcW w:w="3209" w:type="dxa"/>
            <w:gridSpan w:val="2"/>
            <w:shd w:val="clear" w:color="auto" w:fill="auto"/>
            <w:vAlign w:val="center"/>
          </w:tcPr>
          <w:p>
            <w:pPr>
              <w:adjustRightInd w:val="0"/>
              <w:snapToGrid w:val="0"/>
              <w:jc w:val="center"/>
              <w:rPr>
                <w:color w:val="auto"/>
                <w:sz w:val="24"/>
              </w:rPr>
            </w:pPr>
            <w:r>
              <w:rPr>
                <w:rFonts w:hint="eastAsia"/>
                <w:color w:val="auto"/>
                <w:sz w:val="24"/>
                <w:lang w:val="en-US" w:eastAsia="zh-CN"/>
              </w:rPr>
              <w:t>13.97h</w:t>
            </w:r>
            <w:r>
              <w:rPr>
                <w:color w:val="auto"/>
                <w:sz w:val="24"/>
              </w:rPr>
              <w:t>m</w:t>
            </w:r>
            <w:r>
              <w:rPr>
                <w:color w:val="auto"/>
                <w:sz w:val="24"/>
                <w:vertAlign w:val="superscript"/>
              </w:rPr>
              <w:t>2</w:t>
            </w:r>
            <w:r>
              <w:rPr>
                <w:color w:val="auto"/>
                <w:sz w:val="24"/>
              </w:rPr>
              <w:t>（其中永久占地</w:t>
            </w:r>
            <w:r>
              <w:rPr>
                <w:rFonts w:hint="eastAsia"/>
                <w:color w:val="auto"/>
                <w:sz w:val="24"/>
                <w:lang w:val="en-US" w:eastAsia="zh-CN"/>
              </w:rPr>
              <w:t>10.46h</w:t>
            </w:r>
            <w:r>
              <w:rPr>
                <w:color w:val="auto"/>
                <w:sz w:val="24"/>
              </w:rPr>
              <w:t>m</w:t>
            </w:r>
            <w:r>
              <w:rPr>
                <w:color w:val="auto"/>
                <w:sz w:val="24"/>
                <w:vertAlign w:val="superscript"/>
              </w:rPr>
              <w:t>2</w:t>
            </w:r>
            <w:r>
              <w:rPr>
                <w:color w:val="auto"/>
                <w:sz w:val="24"/>
              </w:rPr>
              <w:t>，临时占地</w:t>
            </w:r>
            <w:r>
              <w:rPr>
                <w:rFonts w:hint="eastAsia"/>
                <w:color w:val="auto"/>
                <w:sz w:val="24"/>
                <w:lang w:val="en-US" w:eastAsia="zh-CN"/>
              </w:rPr>
              <w:t>3.51h</w:t>
            </w:r>
            <w:r>
              <w:rPr>
                <w:color w:val="auto"/>
                <w:sz w:val="24"/>
              </w:rPr>
              <w:t>m</w:t>
            </w:r>
            <w:r>
              <w:rPr>
                <w:color w:val="auto"/>
                <w:sz w:val="24"/>
                <w:vertAlign w:val="superscript"/>
              </w:rPr>
              <w:t>2</w:t>
            </w:r>
            <w:r>
              <w:rPr>
                <w:color w:val="auto"/>
                <w:sz w:val="24"/>
              </w:rPr>
              <w:t>）/7.50km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959" w:type="dxa"/>
            <w:gridSpan w:val="2"/>
            <w:shd w:val="clear" w:color="auto" w:fill="auto"/>
            <w:tcMar>
              <w:top w:w="16" w:type="dxa"/>
              <w:left w:w="16" w:type="dxa"/>
              <w:right w:w="16" w:type="dxa"/>
            </w:tcMar>
            <w:vAlign w:val="center"/>
          </w:tcPr>
          <w:p>
            <w:pPr>
              <w:adjustRightInd w:val="0"/>
              <w:snapToGrid w:val="0"/>
              <w:jc w:val="center"/>
              <w:rPr>
                <w:color w:val="auto"/>
                <w:sz w:val="24"/>
              </w:rPr>
            </w:pPr>
            <w:r>
              <w:rPr>
                <w:color w:val="auto"/>
                <w:sz w:val="24"/>
              </w:rPr>
              <w:t>建设性质</w:t>
            </w:r>
          </w:p>
        </w:tc>
        <w:tc>
          <w:tcPr>
            <w:tcW w:w="2005" w:type="dxa"/>
            <w:shd w:val="clear" w:color="auto" w:fill="auto"/>
            <w:vAlign w:val="center"/>
          </w:tcPr>
          <w:p>
            <w:pPr>
              <w:adjustRightInd w:val="0"/>
              <w:snapToGrid w:val="0"/>
              <w:rPr>
                <w:color w:val="auto"/>
                <w:sz w:val="24"/>
              </w:rPr>
            </w:pPr>
            <w:r>
              <w:rPr>
                <w:color w:val="auto"/>
                <w:sz w:val="24"/>
              </w:rPr>
              <w:sym w:font="Wingdings 2" w:char="F052"/>
            </w:r>
            <w:r>
              <w:rPr>
                <w:color w:val="auto"/>
                <w:sz w:val="24"/>
              </w:rPr>
              <w:t>新建（迁建）</w:t>
            </w:r>
          </w:p>
          <w:p>
            <w:pPr>
              <w:adjustRightInd w:val="0"/>
              <w:snapToGrid w:val="0"/>
              <w:rPr>
                <w:color w:val="auto"/>
                <w:sz w:val="24"/>
              </w:rPr>
            </w:pPr>
            <w:r>
              <w:rPr>
                <w:color w:val="auto"/>
                <w:sz w:val="24"/>
              </w:rPr>
              <w:t>□改建</w:t>
            </w:r>
          </w:p>
          <w:p>
            <w:pPr>
              <w:adjustRightInd w:val="0"/>
              <w:snapToGrid w:val="0"/>
              <w:rPr>
                <w:color w:val="auto"/>
                <w:sz w:val="24"/>
              </w:rPr>
            </w:pPr>
            <w:r>
              <w:rPr>
                <w:color w:val="auto"/>
                <w:sz w:val="24"/>
              </w:rPr>
              <w:t>□扩建</w:t>
            </w:r>
          </w:p>
          <w:p>
            <w:pPr>
              <w:adjustRightInd w:val="0"/>
              <w:snapToGrid w:val="0"/>
              <w:rPr>
                <w:color w:val="auto"/>
                <w:sz w:val="24"/>
              </w:rPr>
            </w:pPr>
            <w:r>
              <w:rPr>
                <w:color w:val="auto"/>
                <w:sz w:val="24"/>
              </w:rPr>
              <w:t>□技术改造</w:t>
            </w:r>
          </w:p>
        </w:tc>
        <w:tc>
          <w:tcPr>
            <w:tcW w:w="2541" w:type="dxa"/>
            <w:shd w:val="clear" w:color="auto" w:fill="auto"/>
            <w:vAlign w:val="center"/>
          </w:tcPr>
          <w:p>
            <w:pPr>
              <w:adjustRightInd w:val="0"/>
              <w:snapToGrid w:val="0"/>
              <w:jc w:val="center"/>
              <w:rPr>
                <w:color w:val="auto"/>
                <w:sz w:val="24"/>
              </w:rPr>
            </w:pPr>
            <w:r>
              <w:rPr>
                <w:color w:val="auto"/>
                <w:sz w:val="24"/>
              </w:rPr>
              <w:t>建设项目</w:t>
            </w:r>
          </w:p>
          <w:p>
            <w:pPr>
              <w:adjustRightInd w:val="0"/>
              <w:snapToGrid w:val="0"/>
              <w:jc w:val="center"/>
              <w:rPr>
                <w:color w:val="auto"/>
                <w:sz w:val="24"/>
              </w:rPr>
            </w:pPr>
            <w:r>
              <w:rPr>
                <w:color w:val="auto"/>
                <w:sz w:val="24"/>
              </w:rPr>
              <w:t>申报情形</w:t>
            </w:r>
          </w:p>
        </w:tc>
        <w:tc>
          <w:tcPr>
            <w:tcW w:w="3209" w:type="dxa"/>
            <w:gridSpan w:val="2"/>
            <w:shd w:val="clear" w:color="auto" w:fill="auto"/>
            <w:vAlign w:val="center"/>
          </w:tcPr>
          <w:p>
            <w:pPr>
              <w:adjustRightInd w:val="0"/>
              <w:snapToGrid w:val="0"/>
              <w:rPr>
                <w:color w:val="auto"/>
                <w:sz w:val="24"/>
              </w:rPr>
            </w:pPr>
            <w:r>
              <w:rPr>
                <w:color w:val="auto"/>
                <w:sz w:val="24"/>
              </w:rPr>
              <w:sym w:font="Wingdings 2" w:char="F052"/>
            </w:r>
            <w:r>
              <w:rPr>
                <w:color w:val="auto"/>
                <w:sz w:val="24"/>
              </w:rPr>
              <w:t>首次申报项目</w:t>
            </w:r>
          </w:p>
          <w:p>
            <w:pPr>
              <w:adjustRightInd w:val="0"/>
              <w:snapToGrid w:val="0"/>
              <w:rPr>
                <w:color w:val="auto"/>
                <w:sz w:val="24"/>
              </w:rPr>
            </w:pPr>
            <w:r>
              <w:rPr>
                <w:color w:val="auto"/>
                <w:sz w:val="24"/>
              </w:rPr>
              <w:t>□不予批准后再次申报项目</w:t>
            </w:r>
          </w:p>
          <w:p>
            <w:pPr>
              <w:adjustRightInd w:val="0"/>
              <w:snapToGrid w:val="0"/>
              <w:rPr>
                <w:color w:val="auto"/>
                <w:sz w:val="24"/>
              </w:rPr>
            </w:pPr>
            <w:r>
              <w:rPr>
                <w:color w:val="auto"/>
                <w:sz w:val="24"/>
              </w:rPr>
              <w:t>□超五年重新审核项目</w:t>
            </w:r>
          </w:p>
          <w:p>
            <w:pPr>
              <w:adjustRightInd w:val="0"/>
              <w:snapToGrid w:val="0"/>
              <w:rPr>
                <w:color w:val="auto"/>
                <w:sz w:val="24"/>
              </w:rPr>
            </w:pP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959" w:type="dxa"/>
            <w:gridSpan w:val="2"/>
            <w:tcMar>
              <w:top w:w="16" w:type="dxa"/>
              <w:left w:w="16" w:type="dxa"/>
              <w:right w:w="16" w:type="dxa"/>
            </w:tcMar>
            <w:vAlign w:val="center"/>
          </w:tcPr>
          <w:p>
            <w:pPr>
              <w:adjustRightInd w:val="0"/>
              <w:snapToGrid w:val="0"/>
              <w:jc w:val="center"/>
              <w:rPr>
                <w:color w:val="auto"/>
                <w:sz w:val="24"/>
              </w:rPr>
            </w:pPr>
            <w:r>
              <w:rPr>
                <w:color w:val="auto"/>
                <w:sz w:val="24"/>
              </w:rPr>
              <w:t>项目审批（核准/</w:t>
            </w:r>
          </w:p>
          <w:p>
            <w:pPr>
              <w:adjustRightInd w:val="0"/>
              <w:snapToGrid w:val="0"/>
              <w:jc w:val="center"/>
              <w:rPr>
                <w:color w:val="auto"/>
                <w:sz w:val="24"/>
              </w:rPr>
            </w:pPr>
            <w:r>
              <w:rPr>
                <w:color w:val="auto"/>
                <w:sz w:val="24"/>
              </w:rPr>
              <w:t>备案）部门（选填）</w:t>
            </w:r>
          </w:p>
        </w:tc>
        <w:tc>
          <w:tcPr>
            <w:tcW w:w="2005" w:type="dxa"/>
            <w:vAlign w:val="center"/>
          </w:tcPr>
          <w:p>
            <w:pPr>
              <w:adjustRightInd w:val="0"/>
              <w:snapToGrid w:val="0"/>
              <w:jc w:val="center"/>
              <w:rPr>
                <w:color w:val="auto"/>
                <w:sz w:val="24"/>
              </w:rPr>
            </w:pPr>
            <w:r>
              <w:rPr>
                <w:color w:val="auto"/>
                <w:sz w:val="24"/>
              </w:rPr>
              <w:t>广元市朝天区发展和改革局</w:t>
            </w:r>
          </w:p>
        </w:tc>
        <w:tc>
          <w:tcPr>
            <w:tcW w:w="2541" w:type="dxa"/>
            <w:vAlign w:val="center"/>
          </w:tcPr>
          <w:p>
            <w:pPr>
              <w:adjustRightInd w:val="0"/>
              <w:snapToGrid w:val="0"/>
              <w:jc w:val="center"/>
              <w:rPr>
                <w:color w:val="auto"/>
                <w:sz w:val="24"/>
              </w:rPr>
            </w:pPr>
            <w:r>
              <w:rPr>
                <w:color w:val="auto"/>
                <w:sz w:val="24"/>
              </w:rPr>
              <w:t>项目审批（核准/</w:t>
            </w:r>
          </w:p>
          <w:p>
            <w:pPr>
              <w:adjustRightInd w:val="0"/>
              <w:snapToGrid w:val="0"/>
              <w:jc w:val="center"/>
              <w:rPr>
                <w:color w:val="auto"/>
                <w:sz w:val="24"/>
              </w:rPr>
            </w:pPr>
            <w:r>
              <w:rPr>
                <w:color w:val="auto"/>
                <w:sz w:val="24"/>
              </w:rPr>
              <w:t>备案）文号（选填）</w:t>
            </w:r>
          </w:p>
        </w:tc>
        <w:tc>
          <w:tcPr>
            <w:tcW w:w="3209" w:type="dxa"/>
            <w:gridSpan w:val="2"/>
            <w:vAlign w:val="center"/>
          </w:tcPr>
          <w:p>
            <w:pPr>
              <w:adjustRightInd w:val="0"/>
              <w:snapToGrid w:val="0"/>
              <w:jc w:val="center"/>
              <w:rPr>
                <w:color w:val="auto"/>
                <w:sz w:val="24"/>
              </w:rPr>
            </w:pPr>
            <w:r>
              <w:rPr>
                <w:color w:val="auto"/>
                <w:sz w:val="24"/>
              </w:rPr>
              <w:t>广朝发改项目〔2020〕222号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959" w:type="dxa"/>
            <w:gridSpan w:val="2"/>
            <w:tcMar>
              <w:top w:w="16" w:type="dxa"/>
              <w:left w:w="16" w:type="dxa"/>
              <w:right w:w="16" w:type="dxa"/>
            </w:tcMar>
            <w:vAlign w:val="center"/>
          </w:tcPr>
          <w:p>
            <w:pPr>
              <w:adjustRightInd w:val="0"/>
              <w:snapToGrid w:val="0"/>
              <w:jc w:val="center"/>
              <w:rPr>
                <w:color w:val="auto"/>
                <w:sz w:val="24"/>
              </w:rPr>
            </w:pPr>
            <w:r>
              <w:rPr>
                <w:color w:val="auto"/>
                <w:sz w:val="24"/>
              </w:rPr>
              <w:t>总投资（万元）</w:t>
            </w:r>
          </w:p>
        </w:tc>
        <w:tc>
          <w:tcPr>
            <w:tcW w:w="2005" w:type="dxa"/>
            <w:vAlign w:val="center"/>
          </w:tcPr>
          <w:p>
            <w:pPr>
              <w:adjustRightInd w:val="0"/>
              <w:snapToGrid w:val="0"/>
              <w:jc w:val="center"/>
              <w:rPr>
                <w:rFonts w:hint="default"/>
                <w:color w:val="auto"/>
                <w:sz w:val="24"/>
                <w:lang w:val="en-US"/>
              </w:rPr>
            </w:pPr>
            <w:r>
              <w:rPr>
                <w:color w:val="auto"/>
                <w:sz w:val="24"/>
              </w:rPr>
              <w:t>3</w:t>
            </w:r>
            <w:r>
              <w:rPr>
                <w:rFonts w:hint="eastAsia"/>
                <w:color w:val="auto"/>
                <w:sz w:val="24"/>
                <w:lang w:val="en-US" w:eastAsia="zh-CN"/>
              </w:rPr>
              <w:t>634.39</w:t>
            </w:r>
          </w:p>
        </w:tc>
        <w:tc>
          <w:tcPr>
            <w:tcW w:w="2541" w:type="dxa"/>
            <w:tcMar>
              <w:top w:w="16" w:type="dxa"/>
              <w:left w:w="16" w:type="dxa"/>
              <w:right w:w="16" w:type="dxa"/>
            </w:tcMar>
            <w:vAlign w:val="center"/>
          </w:tcPr>
          <w:p>
            <w:pPr>
              <w:adjustRightInd w:val="0"/>
              <w:snapToGrid w:val="0"/>
              <w:jc w:val="center"/>
              <w:rPr>
                <w:color w:val="auto"/>
                <w:sz w:val="24"/>
              </w:rPr>
            </w:pPr>
            <w:r>
              <w:rPr>
                <w:color w:val="auto"/>
                <w:sz w:val="24"/>
              </w:rPr>
              <w:t>环保投资（万元）</w:t>
            </w:r>
          </w:p>
        </w:tc>
        <w:tc>
          <w:tcPr>
            <w:tcW w:w="3209" w:type="dxa"/>
            <w:gridSpan w:val="2"/>
            <w:vAlign w:val="center"/>
          </w:tcPr>
          <w:p>
            <w:pPr>
              <w:adjustRightInd w:val="0"/>
              <w:snapToGrid w:val="0"/>
              <w:jc w:val="center"/>
              <w:rPr>
                <w:color w:val="auto"/>
                <w:sz w:val="24"/>
              </w:rPr>
            </w:pPr>
            <w:r>
              <w:rPr>
                <w:color w:val="auto"/>
                <w:sz w:val="24"/>
              </w:rPr>
              <w:t>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959" w:type="dxa"/>
            <w:gridSpan w:val="2"/>
            <w:tcMar>
              <w:top w:w="16" w:type="dxa"/>
              <w:left w:w="16" w:type="dxa"/>
              <w:right w:w="16" w:type="dxa"/>
            </w:tcMar>
            <w:vAlign w:val="center"/>
          </w:tcPr>
          <w:p>
            <w:pPr>
              <w:adjustRightInd w:val="0"/>
              <w:snapToGrid w:val="0"/>
              <w:jc w:val="center"/>
              <w:rPr>
                <w:color w:val="auto"/>
                <w:sz w:val="24"/>
                <w:highlight w:val="yellow"/>
              </w:rPr>
            </w:pPr>
            <w:r>
              <w:rPr>
                <w:color w:val="auto"/>
                <w:sz w:val="24"/>
              </w:rPr>
              <w:t>环保投资占比（%）</w:t>
            </w:r>
          </w:p>
        </w:tc>
        <w:tc>
          <w:tcPr>
            <w:tcW w:w="2005" w:type="dxa"/>
            <w:vAlign w:val="center"/>
          </w:tcPr>
          <w:p>
            <w:pPr>
              <w:adjustRightInd w:val="0"/>
              <w:snapToGrid w:val="0"/>
              <w:jc w:val="center"/>
              <w:rPr>
                <w:rFonts w:hint="eastAsia" w:eastAsia="宋体"/>
                <w:color w:val="auto"/>
                <w:sz w:val="24"/>
                <w:lang w:val="en-US" w:eastAsia="zh-CN"/>
              </w:rPr>
            </w:pPr>
            <w:r>
              <w:rPr>
                <w:color w:val="auto"/>
                <w:sz w:val="24"/>
              </w:rPr>
              <w:t>1.7</w:t>
            </w:r>
            <w:r>
              <w:rPr>
                <w:rFonts w:hint="eastAsia"/>
                <w:color w:val="auto"/>
                <w:sz w:val="24"/>
                <w:lang w:val="en-US" w:eastAsia="zh-CN"/>
              </w:rPr>
              <w:t>3</w:t>
            </w:r>
          </w:p>
        </w:tc>
        <w:tc>
          <w:tcPr>
            <w:tcW w:w="2541" w:type="dxa"/>
            <w:tcMar>
              <w:top w:w="16" w:type="dxa"/>
              <w:left w:w="16" w:type="dxa"/>
              <w:right w:w="16" w:type="dxa"/>
            </w:tcMar>
            <w:vAlign w:val="center"/>
          </w:tcPr>
          <w:p>
            <w:pPr>
              <w:adjustRightInd w:val="0"/>
              <w:snapToGrid w:val="0"/>
              <w:jc w:val="center"/>
              <w:rPr>
                <w:color w:val="auto"/>
                <w:sz w:val="24"/>
              </w:rPr>
            </w:pPr>
            <w:r>
              <w:rPr>
                <w:color w:val="auto"/>
                <w:sz w:val="24"/>
              </w:rPr>
              <w:t>施工工期</w:t>
            </w:r>
          </w:p>
        </w:tc>
        <w:tc>
          <w:tcPr>
            <w:tcW w:w="3209" w:type="dxa"/>
            <w:gridSpan w:val="2"/>
            <w:vAlign w:val="center"/>
          </w:tcPr>
          <w:p>
            <w:pPr>
              <w:adjustRightInd w:val="0"/>
              <w:snapToGrid w:val="0"/>
              <w:jc w:val="center"/>
              <w:rPr>
                <w:color w:val="auto"/>
                <w:sz w:val="24"/>
              </w:rPr>
            </w:pPr>
            <w:r>
              <w:rPr>
                <w:color w:val="auto"/>
                <w:sz w:val="24"/>
              </w:rPr>
              <w:t>8个月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11" w:hRule="atLeast"/>
        </w:trPr>
        <w:tc>
          <w:tcPr>
            <w:tcW w:w="1959" w:type="dxa"/>
            <w:gridSpan w:val="2"/>
            <w:tcMar>
              <w:top w:w="16" w:type="dxa"/>
              <w:left w:w="16" w:type="dxa"/>
              <w:right w:w="16" w:type="dxa"/>
            </w:tcMar>
            <w:vAlign w:val="center"/>
          </w:tcPr>
          <w:p>
            <w:pPr>
              <w:adjustRightInd w:val="0"/>
              <w:snapToGrid w:val="0"/>
              <w:jc w:val="center"/>
              <w:rPr>
                <w:color w:val="auto"/>
                <w:sz w:val="24"/>
              </w:rPr>
            </w:pPr>
            <w:r>
              <w:rPr>
                <w:color w:val="auto"/>
                <w:sz w:val="24"/>
              </w:rPr>
              <w:t>是否开工建设</w:t>
            </w:r>
          </w:p>
        </w:tc>
        <w:tc>
          <w:tcPr>
            <w:tcW w:w="7755" w:type="dxa"/>
            <w:gridSpan w:val="4"/>
            <w:vAlign w:val="center"/>
          </w:tcPr>
          <w:p>
            <w:pPr>
              <w:adjustRightInd w:val="0"/>
              <w:snapToGrid w:val="0"/>
              <w:ind w:firstLine="105"/>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否</w:t>
            </w:r>
          </w:p>
          <w:p>
            <w:pPr>
              <w:adjustRightInd w:val="0"/>
              <w:snapToGrid w:val="0"/>
              <w:ind w:firstLine="92"/>
              <w:rPr>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是：</w:t>
            </w:r>
            <w:r>
              <w:rPr>
                <w:rFonts w:hint="default" w:ascii="Times New Roman" w:hAnsi="Times New Roman" w:cs="Times New Roman"/>
                <w:color w:val="auto"/>
                <w:sz w:val="24"/>
                <w:u w:val="single"/>
              </w:rPr>
              <w:t xml:space="preserve">  </w:t>
            </w:r>
            <w:r>
              <w:rPr>
                <w:rFonts w:hint="eastAsia" w:cs="Times New Roman"/>
                <w:color w:val="auto"/>
                <w:sz w:val="24"/>
                <w:u w:val="single"/>
                <w:lang w:val="en-US" w:eastAsia="zh-CN"/>
              </w:rPr>
              <w:t>2022年11月~2023年5月计划施工，目前尚在建设，预计2024年4月建成</w:t>
            </w:r>
            <w:r>
              <w:rPr>
                <w:rFonts w:hint="default" w:ascii="Times New Roman" w:hAnsi="Times New Roman" w:cs="Times New Roman"/>
                <w:color w:val="auto"/>
                <w:sz w:val="24"/>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109" w:type="dxa"/>
            <w:tcMar>
              <w:top w:w="16" w:type="dxa"/>
              <w:left w:w="16" w:type="dxa"/>
              <w:right w:w="16" w:type="dxa"/>
            </w:tcMar>
            <w:vAlign w:val="center"/>
          </w:tcPr>
          <w:p>
            <w:pPr>
              <w:autoSpaceDE w:val="0"/>
              <w:autoSpaceDN w:val="0"/>
              <w:adjustRightInd w:val="0"/>
              <w:snapToGrid w:val="0"/>
              <w:jc w:val="center"/>
              <w:rPr>
                <w:color w:val="auto"/>
                <w:kern w:val="0"/>
                <w:sz w:val="24"/>
              </w:rPr>
            </w:pPr>
            <w:r>
              <w:rPr>
                <w:color w:val="auto"/>
                <w:kern w:val="0"/>
                <w:sz w:val="24"/>
              </w:rPr>
              <w:t>专</w:t>
            </w:r>
            <w:r>
              <w:rPr>
                <w:color w:val="auto"/>
                <w:sz w:val="24"/>
              </w:rPr>
              <w:t>项评价设置情况</w:t>
            </w:r>
          </w:p>
        </w:tc>
        <w:tc>
          <w:tcPr>
            <w:tcW w:w="8605" w:type="dxa"/>
            <w:gridSpan w:val="5"/>
            <w:tcMar>
              <w:top w:w="16" w:type="dxa"/>
              <w:left w:w="16" w:type="dxa"/>
              <w:right w:w="16" w:type="dxa"/>
            </w:tcMar>
            <w:vAlign w:val="center"/>
          </w:tcPr>
          <w:p>
            <w:pPr>
              <w:adjustRightInd w:val="0"/>
              <w:snapToGrid w:val="0"/>
              <w:spacing w:line="360" w:lineRule="auto"/>
              <w:ind w:firstLine="480" w:firstLineChars="200"/>
              <w:rPr>
                <w:bCs/>
                <w:color w:val="auto"/>
                <w:sz w:val="24"/>
              </w:rPr>
            </w:pPr>
            <w:r>
              <w:rPr>
                <w:bCs/>
                <w:color w:val="auto"/>
                <w:sz w:val="24"/>
              </w:rPr>
              <w:t>本项目专项评价设置情况判断见下表：</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3565"/>
              <w:gridCol w:w="2823"/>
              <w:gridCol w:w="10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1113" w:type="dxa"/>
                  <w:tcBorders>
                    <w:top w:val="single" w:color="auto" w:sz="12" w:space="0"/>
                  </w:tcBorders>
                  <w:vAlign w:val="center"/>
                </w:tcPr>
                <w:p>
                  <w:pPr>
                    <w:jc w:val="center"/>
                    <w:rPr>
                      <w:b/>
                      <w:bCs/>
                      <w:color w:val="auto"/>
                      <w:kern w:val="0"/>
                      <w:szCs w:val="21"/>
                    </w:rPr>
                  </w:pPr>
                  <w:r>
                    <w:rPr>
                      <w:b/>
                      <w:bCs/>
                      <w:color w:val="auto"/>
                      <w:kern w:val="0"/>
                      <w:szCs w:val="21"/>
                    </w:rPr>
                    <w:t>专项评价的类别</w:t>
                  </w:r>
                </w:p>
              </w:tc>
              <w:tc>
                <w:tcPr>
                  <w:tcW w:w="3402" w:type="dxa"/>
                  <w:tcBorders>
                    <w:top w:val="single" w:color="auto" w:sz="12" w:space="0"/>
                  </w:tcBorders>
                  <w:vAlign w:val="center"/>
                </w:tcPr>
                <w:p>
                  <w:pPr>
                    <w:jc w:val="center"/>
                    <w:rPr>
                      <w:b/>
                      <w:bCs/>
                      <w:color w:val="auto"/>
                      <w:kern w:val="0"/>
                      <w:szCs w:val="21"/>
                    </w:rPr>
                  </w:pPr>
                  <w:r>
                    <w:rPr>
                      <w:b/>
                      <w:bCs/>
                      <w:color w:val="auto"/>
                      <w:kern w:val="0"/>
                      <w:szCs w:val="21"/>
                    </w:rPr>
                    <w:t>涉及项目类别</w:t>
                  </w:r>
                </w:p>
              </w:tc>
              <w:tc>
                <w:tcPr>
                  <w:tcW w:w="2694" w:type="dxa"/>
                  <w:tcBorders>
                    <w:top w:val="single" w:color="auto" w:sz="12" w:space="0"/>
                  </w:tcBorders>
                  <w:vAlign w:val="center"/>
                </w:tcPr>
                <w:p>
                  <w:pPr>
                    <w:jc w:val="center"/>
                    <w:rPr>
                      <w:b/>
                      <w:bCs/>
                      <w:color w:val="auto"/>
                      <w:kern w:val="0"/>
                      <w:szCs w:val="21"/>
                    </w:rPr>
                  </w:pPr>
                  <w:r>
                    <w:rPr>
                      <w:b/>
                      <w:bCs/>
                      <w:color w:val="auto"/>
                      <w:kern w:val="0"/>
                      <w:szCs w:val="21"/>
                    </w:rPr>
                    <w:t>本项目情况</w:t>
                  </w:r>
                </w:p>
              </w:tc>
              <w:tc>
                <w:tcPr>
                  <w:tcW w:w="971" w:type="dxa"/>
                  <w:tcBorders>
                    <w:top w:val="single" w:color="auto" w:sz="12" w:space="0"/>
                  </w:tcBorders>
                  <w:vAlign w:val="center"/>
                </w:tcPr>
                <w:p>
                  <w:pPr>
                    <w:jc w:val="center"/>
                    <w:rPr>
                      <w:b/>
                      <w:bCs/>
                      <w:color w:val="auto"/>
                      <w:kern w:val="0"/>
                      <w:szCs w:val="21"/>
                    </w:rPr>
                  </w:pPr>
                  <w:r>
                    <w:rPr>
                      <w:b/>
                      <w:bCs/>
                      <w:color w:val="auto"/>
                      <w:kern w:val="0"/>
                      <w:szCs w:val="21"/>
                    </w:rPr>
                    <w:t>是否设置专项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8" w:hRule="atLeast"/>
                <w:jc w:val="center"/>
              </w:trPr>
              <w:tc>
                <w:tcPr>
                  <w:tcW w:w="1113" w:type="dxa"/>
                  <w:vAlign w:val="center"/>
                </w:tcPr>
                <w:p>
                  <w:pPr>
                    <w:jc w:val="center"/>
                    <w:rPr>
                      <w:color w:val="auto"/>
                      <w:kern w:val="0"/>
                      <w:szCs w:val="21"/>
                    </w:rPr>
                  </w:pPr>
                  <w:r>
                    <w:rPr>
                      <w:color w:val="auto"/>
                      <w:kern w:val="0"/>
                      <w:szCs w:val="21"/>
                    </w:rPr>
                    <w:t>地表水</w:t>
                  </w:r>
                </w:p>
              </w:tc>
              <w:tc>
                <w:tcPr>
                  <w:tcW w:w="3402" w:type="dxa"/>
                  <w:vAlign w:val="center"/>
                </w:tcPr>
                <w:p>
                  <w:pPr>
                    <w:autoSpaceDE w:val="0"/>
                    <w:autoSpaceDN w:val="0"/>
                    <w:adjustRightInd w:val="0"/>
                    <w:spacing w:before="24" w:beforeLines="10" w:after="24" w:afterLines="10"/>
                    <w:jc w:val="left"/>
                    <w:rPr>
                      <w:color w:val="auto"/>
                      <w:kern w:val="0"/>
                      <w:szCs w:val="21"/>
                    </w:rPr>
                  </w:pPr>
                  <w:r>
                    <w:rPr>
                      <w:b/>
                      <w:color w:val="auto"/>
                      <w:kern w:val="0"/>
                      <w:szCs w:val="21"/>
                    </w:rPr>
                    <w:t>水力发电：</w:t>
                  </w:r>
                  <w:r>
                    <w:rPr>
                      <w:color w:val="auto"/>
                      <w:kern w:val="0"/>
                      <w:szCs w:val="21"/>
                    </w:rPr>
                    <w:t>引水式发电、涉及调峰发电的项目；</w:t>
                  </w:r>
                </w:p>
                <w:p>
                  <w:pPr>
                    <w:autoSpaceDE w:val="0"/>
                    <w:autoSpaceDN w:val="0"/>
                    <w:adjustRightInd w:val="0"/>
                    <w:spacing w:before="24" w:beforeLines="10" w:after="24" w:afterLines="10"/>
                    <w:jc w:val="left"/>
                    <w:rPr>
                      <w:color w:val="auto"/>
                      <w:kern w:val="0"/>
                      <w:szCs w:val="21"/>
                    </w:rPr>
                  </w:pPr>
                  <w:r>
                    <w:rPr>
                      <w:b/>
                      <w:color w:val="auto"/>
                      <w:kern w:val="0"/>
                      <w:szCs w:val="21"/>
                    </w:rPr>
                    <w:t>人工湖、人工湿地：</w:t>
                  </w:r>
                  <w:r>
                    <w:rPr>
                      <w:color w:val="auto"/>
                      <w:kern w:val="0"/>
                      <w:szCs w:val="21"/>
                    </w:rPr>
                    <w:t>全部；</w:t>
                  </w:r>
                </w:p>
                <w:p>
                  <w:pPr>
                    <w:autoSpaceDE w:val="0"/>
                    <w:autoSpaceDN w:val="0"/>
                    <w:adjustRightInd w:val="0"/>
                    <w:spacing w:before="24" w:beforeLines="10" w:after="24" w:afterLines="10"/>
                    <w:jc w:val="left"/>
                    <w:rPr>
                      <w:color w:val="auto"/>
                      <w:kern w:val="0"/>
                      <w:szCs w:val="21"/>
                    </w:rPr>
                  </w:pPr>
                  <w:r>
                    <w:rPr>
                      <w:b/>
                      <w:color w:val="auto"/>
                      <w:kern w:val="0"/>
                      <w:szCs w:val="21"/>
                    </w:rPr>
                    <w:t>水库：</w:t>
                  </w:r>
                  <w:r>
                    <w:rPr>
                      <w:color w:val="auto"/>
                      <w:kern w:val="0"/>
                      <w:szCs w:val="21"/>
                    </w:rPr>
                    <w:t>全部；</w:t>
                  </w:r>
                </w:p>
                <w:p>
                  <w:pPr>
                    <w:autoSpaceDE w:val="0"/>
                    <w:autoSpaceDN w:val="0"/>
                    <w:adjustRightInd w:val="0"/>
                    <w:spacing w:before="24" w:beforeLines="10" w:after="24" w:afterLines="10"/>
                    <w:jc w:val="left"/>
                    <w:rPr>
                      <w:color w:val="auto"/>
                      <w:kern w:val="0"/>
                      <w:szCs w:val="21"/>
                    </w:rPr>
                  </w:pPr>
                  <w:r>
                    <w:rPr>
                      <w:b/>
                      <w:color w:val="auto"/>
                      <w:kern w:val="0"/>
                      <w:szCs w:val="21"/>
                    </w:rPr>
                    <w:t>引水工程：</w:t>
                  </w:r>
                  <w:r>
                    <w:rPr>
                      <w:color w:val="auto"/>
                      <w:kern w:val="0"/>
                      <w:szCs w:val="21"/>
                    </w:rPr>
                    <w:t>全部（配套的管线工程等除外）</w:t>
                  </w:r>
                </w:p>
                <w:p>
                  <w:pPr>
                    <w:autoSpaceDE w:val="0"/>
                    <w:autoSpaceDN w:val="0"/>
                    <w:adjustRightInd w:val="0"/>
                    <w:spacing w:before="24" w:beforeLines="10" w:after="24" w:afterLines="10"/>
                    <w:jc w:val="left"/>
                    <w:rPr>
                      <w:color w:val="auto"/>
                      <w:kern w:val="0"/>
                      <w:szCs w:val="21"/>
                    </w:rPr>
                  </w:pPr>
                  <w:r>
                    <w:rPr>
                      <w:b/>
                      <w:color w:val="auto"/>
                      <w:kern w:val="0"/>
                      <w:szCs w:val="21"/>
                    </w:rPr>
                    <w:t>防洪治理工程：</w:t>
                  </w:r>
                  <w:r>
                    <w:rPr>
                      <w:color w:val="auto"/>
                      <w:kern w:val="0"/>
                      <w:szCs w:val="21"/>
                    </w:rPr>
                    <w:t>包含水库的项目；</w:t>
                  </w:r>
                </w:p>
                <w:p>
                  <w:pPr>
                    <w:widowControl/>
                    <w:jc w:val="left"/>
                    <w:rPr>
                      <w:color w:val="auto"/>
                      <w:kern w:val="0"/>
                      <w:szCs w:val="21"/>
                    </w:rPr>
                  </w:pPr>
                  <w:r>
                    <w:rPr>
                      <w:b/>
                      <w:color w:val="auto"/>
                      <w:kern w:val="0"/>
                      <w:szCs w:val="21"/>
                    </w:rPr>
                    <w:t>河湖整治：</w:t>
                  </w:r>
                  <w:r>
                    <w:rPr>
                      <w:color w:val="auto"/>
                      <w:kern w:val="0"/>
                      <w:szCs w:val="21"/>
                    </w:rPr>
                    <w:t>涉及清淤且底泥存在重金属污染的项目</w:t>
                  </w:r>
                </w:p>
              </w:tc>
              <w:tc>
                <w:tcPr>
                  <w:tcW w:w="2694" w:type="dxa"/>
                  <w:vAlign w:val="center"/>
                </w:tcPr>
                <w:p>
                  <w:pPr>
                    <w:jc w:val="left"/>
                    <w:rPr>
                      <w:color w:val="auto"/>
                      <w:kern w:val="0"/>
                      <w:szCs w:val="21"/>
                    </w:rPr>
                  </w:pPr>
                  <w:r>
                    <w:rPr>
                      <w:color w:val="auto"/>
                      <w:kern w:val="0"/>
                      <w:szCs w:val="21"/>
                    </w:rPr>
                    <w:t>本项目为防洪治理工程，不包含水库。</w:t>
                  </w:r>
                </w:p>
              </w:tc>
              <w:tc>
                <w:tcPr>
                  <w:tcW w:w="971" w:type="dxa"/>
                  <w:vAlign w:val="center"/>
                </w:tcPr>
                <w:p>
                  <w:pPr>
                    <w:jc w:val="center"/>
                    <w:rPr>
                      <w:color w:val="auto"/>
                      <w:kern w:val="0"/>
                      <w:szCs w:val="21"/>
                    </w:rPr>
                  </w:pPr>
                  <w:r>
                    <w:rPr>
                      <w:color w:val="auto"/>
                      <w:kern w:val="0"/>
                      <w:szCs w:val="21"/>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13" w:type="dxa"/>
                  <w:vAlign w:val="center"/>
                </w:tcPr>
                <w:p>
                  <w:pPr>
                    <w:jc w:val="center"/>
                    <w:rPr>
                      <w:color w:val="auto"/>
                      <w:kern w:val="0"/>
                      <w:szCs w:val="21"/>
                    </w:rPr>
                  </w:pPr>
                  <w:r>
                    <w:rPr>
                      <w:color w:val="auto"/>
                      <w:kern w:val="0"/>
                      <w:szCs w:val="21"/>
                    </w:rPr>
                    <w:t>地下水</w:t>
                  </w:r>
                </w:p>
              </w:tc>
              <w:tc>
                <w:tcPr>
                  <w:tcW w:w="3402" w:type="dxa"/>
                  <w:vAlign w:val="center"/>
                </w:tcPr>
                <w:p>
                  <w:pPr>
                    <w:autoSpaceDE w:val="0"/>
                    <w:autoSpaceDN w:val="0"/>
                    <w:adjustRightInd w:val="0"/>
                    <w:spacing w:before="24" w:beforeLines="10" w:after="24" w:afterLines="10"/>
                    <w:rPr>
                      <w:color w:val="auto"/>
                      <w:kern w:val="0"/>
                      <w:szCs w:val="21"/>
                    </w:rPr>
                  </w:pPr>
                  <w:r>
                    <w:rPr>
                      <w:b/>
                      <w:color w:val="auto"/>
                      <w:kern w:val="0"/>
                      <w:szCs w:val="21"/>
                    </w:rPr>
                    <w:t>陆地石油和天然气开采：</w:t>
                  </w:r>
                  <w:r>
                    <w:rPr>
                      <w:color w:val="auto"/>
                      <w:kern w:val="0"/>
                      <w:szCs w:val="21"/>
                    </w:rPr>
                    <w:t>全部；</w:t>
                  </w:r>
                </w:p>
                <w:p>
                  <w:pPr>
                    <w:autoSpaceDE w:val="0"/>
                    <w:autoSpaceDN w:val="0"/>
                    <w:adjustRightInd w:val="0"/>
                    <w:spacing w:before="24" w:beforeLines="10" w:after="24" w:afterLines="10"/>
                    <w:jc w:val="left"/>
                    <w:rPr>
                      <w:color w:val="auto"/>
                      <w:kern w:val="0"/>
                      <w:szCs w:val="21"/>
                    </w:rPr>
                  </w:pPr>
                  <w:r>
                    <w:rPr>
                      <w:b/>
                      <w:color w:val="auto"/>
                      <w:kern w:val="0"/>
                      <w:szCs w:val="21"/>
                    </w:rPr>
                    <w:t>地下水（含矿泉水）开采：</w:t>
                  </w:r>
                  <w:r>
                    <w:rPr>
                      <w:color w:val="auto"/>
                      <w:kern w:val="0"/>
                      <w:szCs w:val="21"/>
                    </w:rPr>
                    <w:t>全部；</w:t>
                  </w:r>
                </w:p>
                <w:p>
                  <w:pPr>
                    <w:widowControl/>
                    <w:jc w:val="left"/>
                    <w:rPr>
                      <w:color w:val="auto"/>
                      <w:kern w:val="0"/>
                      <w:szCs w:val="21"/>
                    </w:rPr>
                  </w:pPr>
                  <w:r>
                    <w:rPr>
                      <w:b/>
                      <w:color w:val="auto"/>
                      <w:kern w:val="0"/>
                      <w:szCs w:val="21"/>
                    </w:rPr>
                    <w:t>水利、水电、交通等：</w:t>
                  </w:r>
                  <w:r>
                    <w:rPr>
                      <w:color w:val="auto"/>
                      <w:kern w:val="0"/>
                      <w:szCs w:val="21"/>
                    </w:rPr>
                    <w:t>含穿越可溶岩地层隧道的项目</w:t>
                  </w:r>
                </w:p>
              </w:tc>
              <w:tc>
                <w:tcPr>
                  <w:tcW w:w="2694" w:type="dxa"/>
                  <w:vAlign w:val="center"/>
                </w:tcPr>
                <w:p>
                  <w:pPr>
                    <w:rPr>
                      <w:color w:val="auto"/>
                      <w:kern w:val="0"/>
                      <w:szCs w:val="21"/>
                    </w:rPr>
                  </w:pPr>
                  <w:r>
                    <w:rPr>
                      <w:color w:val="auto"/>
                      <w:kern w:val="0"/>
                      <w:szCs w:val="21"/>
                    </w:rPr>
                    <w:t>本项目建设内容不涉及陆地石油和天然气开采、地下水开采；项目不穿越可溶岩地层隧道。</w:t>
                  </w:r>
                </w:p>
              </w:tc>
              <w:tc>
                <w:tcPr>
                  <w:tcW w:w="971" w:type="dxa"/>
                  <w:vAlign w:val="center"/>
                </w:tcPr>
                <w:p>
                  <w:pPr>
                    <w:jc w:val="center"/>
                    <w:rPr>
                      <w:color w:val="auto"/>
                      <w:kern w:val="0"/>
                      <w:szCs w:val="21"/>
                    </w:rPr>
                  </w:pPr>
                  <w:r>
                    <w:rPr>
                      <w:color w:val="auto"/>
                      <w:kern w:val="0"/>
                      <w:szCs w:val="21"/>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8" w:hRule="atLeast"/>
                <w:jc w:val="center"/>
              </w:trPr>
              <w:tc>
                <w:tcPr>
                  <w:tcW w:w="1113" w:type="dxa"/>
                  <w:vAlign w:val="center"/>
                </w:tcPr>
                <w:p>
                  <w:pPr>
                    <w:jc w:val="center"/>
                    <w:rPr>
                      <w:color w:val="auto"/>
                      <w:kern w:val="0"/>
                      <w:szCs w:val="21"/>
                    </w:rPr>
                  </w:pPr>
                  <w:r>
                    <w:rPr>
                      <w:color w:val="auto"/>
                      <w:kern w:val="0"/>
                      <w:szCs w:val="21"/>
                    </w:rPr>
                    <w:t>生态</w:t>
                  </w:r>
                </w:p>
              </w:tc>
              <w:tc>
                <w:tcPr>
                  <w:tcW w:w="3402" w:type="dxa"/>
                  <w:vAlign w:val="center"/>
                </w:tcPr>
                <w:p>
                  <w:pPr>
                    <w:widowControl/>
                    <w:rPr>
                      <w:color w:val="auto"/>
                      <w:kern w:val="0"/>
                      <w:szCs w:val="21"/>
                    </w:rPr>
                  </w:pPr>
                  <w:r>
                    <w:rPr>
                      <w:color w:val="auto"/>
                      <w:kern w:val="0"/>
                      <w:szCs w:val="21"/>
                    </w:rPr>
                    <w:t>涉及环境敏感区的（不包括饮用水水源保护区，以居住、医疗卫生、文化教育、科研、行政办公为主要功能的区域，以及文物保护单位）的项目</w:t>
                  </w:r>
                </w:p>
              </w:tc>
              <w:tc>
                <w:tcPr>
                  <w:tcW w:w="2694" w:type="dxa"/>
                  <w:vAlign w:val="center"/>
                </w:tcPr>
                <w:p>
                  <w:pPr>
                    <w:rPr>
                      <w:color w:val="auto"/>
                      <w:kern w:val="0"/>
                      <w:szCs w:val="21"/>
                    </w:rPr>
                  </w:pPr>
                  <w:r>
                    <w:rPr>
                      <w:color w:val="auto"/>
                      <w:kern w:val="0"/>
                      <w:szCs w:val="21"/>
                    </w:rPr>
                    <w:t>本项目部分建设区涉及四川嘉陵江源市级湿地自然保护区实验区，不属于《建设项目环境影响评价分类管理名录》中针对防洪治理项目所列的敏感区，因此本项目不涉及环境敏感区</w:t>
                  </w:r>
                </w:p>
              </w:tc>
              <w:tc>
                <w:tcPr>
                  <w:tcW w:w="971" w:type="dxa"/>
                  <w:vAlign w:val="center"/>
                </w:tcPr>
                <w:p>
                  <w:pPr>
                    <w:jc w:val="center"/>
                    <w:rPr>
                      <w:color w:val="auto"/>
                      <w:kern w:val="0"/>
                      <w:szCs w:val="21"/>
                    </w:rPr>
                  </w:pPr>
                  <w:r>
                    <w:rPr>
                      <w:color w:val="auto"/>
                      <w:kern w:val="0"/>
                      <w:szCs w:val="21"/>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1113" w:type="dxa"/>
                  <w:vAlign w:val="center"/>
                </w:tcPr>
                <w:p>
                  <w:pPr>
                    <w:jc w:val="center"/>
                    <w:rPr>
                      <w:color w:val="auto"/>
                      <w:kern w:val="0"/>
                      <w:szCs w:val="21"/>
                    </w:rPr>
                  </w:pPr>
                  <w:r>
                    <w:rPr>
                      <w:color w:val="auto"/>
                      <w:kern w:val="0"/>
                      <w:szCs w:val="21"/>
                    </w:rPr>
                    <w:t>大气</w:t>
                  </w:r>
                </w:p>
              </w:tc>
              <w:tc>
                <w:tcPr>
                  <w:tcW w:w="3402" w:type="dxa"/>
                  <w:vAlign w:val="center"/>
                </w:tcPr>
                <w:p>
                  <w:pPr>
                    <w:autoSpaceDE w:val="0"/>
                    <w:autoSpaceDN w:val="0"/>
                    <w:adjustRightInd w:val="0"/>
                    <w:spacing w:before="24" w:beforeLines="10" w:after="24" w:afterLines="10"/>
                    <w:rPr>
                      <w:color w:val="auto"/>
                      <w:kern w:val="0"/>
                      <w:szCs w:val="21"/>
                    </w:rPr>
                  </w:pPr>
                  <w:r>
                    <w:rPr>
                      <w:b/>
                      <w:color w:val="auto"/>
                      <w:kern w:val="0"/>
                      <w:szCs w:val="21"/>
                    </w:rPr>
                    <w:t>油气、液体化工码头：</w:t>
                  </w:r>
                  <w:r>
                    <w:rPr>
                      <w:color w:val="auto"/>
                      <w:kern w:val="0"/>
                      <w:szCs w:val="21"/>
                    </w:rPr>
                    <w:t>全部；</w:t>
                  </w:r>
                </w:p>
                <w:p>
                  <w:pPr>
                    <w:widowControl/>
                    <w:rPr>
                      <w:color w:val="auto"/>
                      <w:kern w:val="0"/>
                      <w:szCs w:val="21"/>
                    </w:rPr>
                  </w:pPr>
                  <w:r>
                    <w:rPr>
                      <w:b/>
                      <w:color w:val="auto"/>
                      <w:kern w:val="0"/>
                      <w:szCs w:val="21"/>
                    </w:rPr>
                    <w:t>干散货（含煤炭、矿石）、件杂、多用途、通用码头：</w:t>
                  </w:r>
                  <w:r>
                    <w:rPr>
                      <w:color w:val="auto"/>
                      <w:kern w:val="0"/>
                      <w:szCs w:val="21"/>
                    </w:rPr>
                    <w:t>涉及粉尘、挥发性有机物排放的项目</w:t>
                  </w:r>
                </w:p>
              </w:tc>
              <w:tc>
                <w:tcPr>
                  <w:tcW w:w="2694" w:type="dxa"/>
                  <w:vAlign w:val="center"/>
                </w:tcPr>
                <w:p>
                  <w:pPr>
                    <w:rPr>
                      <w:color w:val="auto"/>
                      <w:kern w:val="0"/>
                      <w:szCs w:val="21"/>
                    </w:rPr>
                  </w:pPr>
                  <w:r>
                    <w:rPr>
                      <w:color w:val="auto"/>
                      <w:kern w:val="0"/>
                      <w:szCs w:val="21"/>
                    </w:rPr>
                    <w:t>本项目建设内容不涉及油气、液体化工码头、干散货通用码头等项目。</w:t>
                  </w:r>
                </w:p>
              </w:tc>
              <w:tc>
                <w:tcPr>
                  <w:tcW w:w="971" w:type="dxa"/>
                  <w:vAlign w:val="center"/>
                </w:tcPr>
                <w:p>
                  <w:pPr>
                    <w:jc w:val="center"/>
                    <w:rPr>
                      <w:color w:val="auto"/>
                      <w:kern w:val="0"/>
                      <w:szCs w:val="21"/>
                    </w:rPr>
                  </w:pPr>
                  <w:r>
                    <w:rPr>
                      <w:color w:val="auto"/>
                      <w:kern w:val="0"/>
                      <w:szCs w:val="21"/>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1" w:hRule="atLeast"/>
                <w:jc w:val="center"/>
              </w:trPr>
              <w:tc>
                <w:tcPr>
                  <w:tcW w:w="1113" w:type="dxa"/>
                  <w:tcBorders>
                    <w:bottom w:val="single" w:color="auto" w:sz="4" w:space="0"/>
                  </w:tcBorders>
                  <w:vAlign w:val="center"/>
                </w:tcPr>
                <w:p>
                  <w:pPr>
                    <w:jc w:val="center"/>
                    <w:rPr>
                      <w:color w:val="auto"/>
                      <w:kern w:val="0"/>
                      <w:szCs w:val="21"/>
                    </w:rPr>
                  </w:pPr>
                  <w:r>
                    <w:rPr>
                      <w:color w:val="auto"/>
                      <w:kern w:val="0"/>
                      <w:szCs w:val="21"/>
                    </w:rPr>
                    <w:t>噪声</w:t>
                  </w:r>
                </w:p>
              </w:tc>
              <w:tc>
                <w:tcPr>
                  <w:tcW w:w="3402" w:type="dxa"/>
                  <w:tcBorders>
                    <w:bottom w:val="single" w:color="auto" w:sz="4" w:space="0"/>
                  </w:tcBorders>
                  <w:vAlign w:val="center"/>
                </w:tcPr>
                <w:p>
                  <w:pPr>
                    <w:autoSpaceDE w:val="0"/>
                    <w:autoSpaceDN w:val="0"/>
                    <w:adjustRightInd w:val="0"/>
                    <w:spacing w:before="24" w:beforeLines="10" w:after="24" w:afterLines="10"/>
                    <w:rPr>
                      <w:color w:val="auto"/>
                      <w:kern w:val="0"/>
                      <w:szCs w:val="21"/>
                    </w:rPr>
                  </w:pPr>
                  <w:r>
                    <w:rPr>
                      <w:color w:val="auto"/>
                      <w:kern w:val="0"/>
                      <w:szCs w:val="21"/>
                    </w:rPr>
                    <w:t>公路、铁路、机场等交通运输业涉及环境敏感区（以居住、医疗卫生、文化教育、科研、行政办公为主要功能的区域）；</w:t>
                  </w:r>
                </w:p>
                <w:p>
                  <w:pPr>
                    <w:widowControl/>
                    <w:rPr>
                      <w:color w:val="auto"/>
                      <w:kern w:val="0"/>
                      <w:szCs w:val="21"/>
                    </w:rPr>
                  </w:pPr>
                  <w:r>
                    <w:rPr>
                      <w:b/>
                      <w:color w:val="auto"/>
                      <w:kern w:val="0"/>
                      <w:szCs w:val="21"/>
                    </w:rPr>
                    <w:t>城市道路（不含维护，不含支路、人行天桥、人行地道）：</w:t>
                  </w:r>
                  <w:r>
                    <w:rPr>
                      <w:color w:val="auto"/>
                      <w:kern w:val="0"/>
                      <w:szCs w:val="21"/>
                    </w:rPr>
                    <w:t>全部</w:t>
                  </w:r>
                </w:p>
              </w:tc>
              <w:tc>
                <w:tcPr>
                  <w:tcW w:w="2694" w:type="dxa"/>
                  <w:tcBorders>
                    <w:bottom w:val="single" w:color="auto" w:sz="4" w:space="0"/>
                  </w:tcBorders>
                  <w:vAlign w:val="center"/>
                </w:tcPr>
                <w:p>
                  <w:pPr>
                    <w:rPr>
                      <w:color w:val="auto"/>
                      <w:kern w:val="0"/>
                      <w:szCs w:val="21"/>
                    </w:rPr>
                  </w:pPr>
                  <w:r>
                    <w:rPr>
                      <w:color w:val="auto"/>
                      <w:kern w:val="0"/>
                      <w:szCs w:val="21"/>
                    </w:rPr>
                    <w:t>本项目为防洪治理工程，无需开展噪声专项评价。</w:t>
                  </w:r>
                </w:p>
              </w:tc>
              <w:tc>
                <w:tcPr>
                  <w:tcW w:w="971" w:type="dxa"/>
                  <w:tcBorders>
                    <w:bottom w:val="single" w:color="auto" w:sz="4" w:space="0"/>
                  </w:tcBorders>
                  <w:vAlign w:val="center"/>
                </w:tcPr>
                <w:p>
                  <w:pPr>
                    <w:jc w:val="center"/>
                    <w:rPr>
                      <w:color w:val="auto"/>
                      <w:kern w:val="0"/>
                      <w:szCs w:val="21"/>
                    </w:rPr>
                  </w:pPr>
                  <w:r>
                    <w:rPr>
                      <w:color w:val="auto"/>
                      <w:kern w:val="0"/>
                      <w:szCs w:val="21"/>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8" w:hRule="atLeast"/>
                <w:jc w:val="center"/>
              </w:trPr>
              <w:tc>
                <w:tcPr>
                  <w:tcW w:w="1113" w:type="dxa"/>
                  <w:tcBorders>
                    <w:bottom w:val="single" w:color="auto" w:sz="12" w:space="0"/>
                  </w:tcBorders>
                  <w:vAlign w:val="center"/>
                </w:tcPr>
                <w:p>
                  <w:pPr>
                    <w:jc w:val="center"/>
                    <w:rPr>
                      <w:color w:val="auto"/>
                      <w:kern w:val="0"/>
                      <w:szCs w:val="21"/>
                    </w:rPr>
                  </w:pPr>
                  <w:r>
                    <w:rPr>
                      <w:color w:val="auto"/>
                      <w:kern w:val="0"/>
                      <w:szCs w:val="21"/>
                    </w:rPr>
                    <w:t>环境风险</w:t>
                  </w:r>
                </w:p>
              </w:tc>
              <w:tc>
                <w:tcPr>
                  <w:tcW w:w="3402" w:type="dxa"/>
                  <w:tcBorders>
                    <w:bottom w:val="single" w:color="auto" w:sz="12" w:space="0"/>
                  </w:tcBorders>
                  <w:vAlign w:val="center"/>
                </w:tcPr>
                <w:p>
                  <w:pPr>
                    <w:autoSpaceDE w:val="0"/>
                    <w:autoSpaceDN w:val="0"/>
                    <w:adjustRightInd w:val="0"/>
                    <w:spacing w:before="24" w:beforeLines="10" w:after="24" w:afterLines="10"/>
                    <w:rPr>
                      <w:color w:val="auto"/>
                      <w:kern w:val="0"/>
                      <w:szCs w:val="21"/>
                    </w:rPr>
                  </w:pPr>
                  <w:r>
                    <w:rPr>
                      <w:b/>
                      <w:color w:val="auto"/>
                      <w:kern w:val="0"/>
                      <w:szCs w:val="21"/>
                    </w:rPr>
                    <w:t>石油和天然气开采：</w:t>
                  </w:r>
                  <w:r>
                    <w:rPr>
                      <w:color w:val="auto"/>
                      <w:kern w:val="0"/>
                      <w:szCs w:val="21"/>
                    </w:rPr>
                    <w:t>全部；</w:t>
                  </w:r>
                </w:p>
                <w:p>
                  <w:pPr>
                    <w:autoSpaceDE w:val="0"/>
                    <w:autoSpaceDN w:val="0"/>
                    <w:adjustRightInd w:val="0"/>
                    <w:spacing w:before="24" w:beforeLines="10" w:after="24" w:afterLines="10"/>
                    <w:rPr>
                      <w:color w:val="auto"/>
                      <w:kern w:val="0"/>
                      <w:szCs w:val="21"/>
                    </w:rPr>
                  </w:pPr>
                  <w:r>
                    <w:rPr>
                      <w:b/>
                      <w:color w:val="auto"/>
                      <w:kern w:val="0"/>
                      <w:szCs w:val="21"/>
                    </w:rPr>
                    <w:t>油气、液体化工码头：</w:t>
                  </w:r>
                  <w:r>
                    <w:rPr>
                      <w:color w:val="auto"/>
                      <w:kern w:val="0"/>
                      <w:szCs w:val="21"/>
                    </w:rPr>
                    <w:t>全部；</w:t>
                  </w:r>
                </w:p>
                <w:p>
                  <w:pPr>
                    <w:widowControl/>
                    <w:rPr>
                      <w:color w:val="auto"/>
                      <w:kern w:val="0"/>
                      <w:szCs w:val="21"/>
                    </w:rPr>
                  </w:pPr>
                  <w:r>
                    <w:rPr>
                      <w:b/>
                      <w:color w:val="auto"/>
                      <w:kern w:val="0"/>
                      <w:szCs w:val="21"/>
                    </w:rPr>
                    <w:t>原油、成品油、天然气管线（不含城镇天然气管线、企业厂区内管线），危险化学品输送管线（不含企业厂区内管线）：</w:t>
                  </w:r>
                  <w:r>
                    <w:rPr>
                      <w:color w:val="auto"/>
                      <w:kern w:val="0"/>
                      <w:szCs w:val="21"/>
                    </w:rPr>
                    <w:t>全部</w:t>
                  </w:r>
                </w:p>
              </w:tc>
              <w:tc>
                <w:tcPr>
                  <w:tcW w:w="2694" w:type="dxa"/>
                  <w:tcBorders>
                    <w:bottom w:val="single" w:color="auto" w:sz="12" w:space="0"/>
                  </w:tcBorders>
                  <w:vAlign w:val="center"/>
                </w:tcPr>
                <w:p>
                  <w:pPr>
                    <w:rPr>
                      <w:color w:val="auto"/>
                      <w:kern w:val="0"/>
                      <w:szCs w:val="21"/>
                    </w:rPr>
                  </w:pPr>
                  <w:r>
                    <w:rPr>
                      <w:color w:val="auto"/>
                      <w:kern w:val="0"/>
                      <w:szCs w:val="21"/>
                    </w:rPr>
                    <w:t>本项目建设内容不涉及石油和天然气开采、油气管线、化工码头等项目。</w:t>
                  </w:r>
                </w:p>
              </w:tc>
              <w:tc>
                <w:tcPr>
                  <w:tcW w:w="971" w:type="dxa"/>
                  <w:tcBorders>
                    <w:bottom w:val="single" w:color="auto" w:sz="12" w:space="0"/>
                  </w:tcBorders>
                  <w:vAlign w:val="center"/>
                </w:tcPr>
                <w:p>
                  <w:pPr>
                    <w:jc w:val="center"/>
                    <w:rPr>
                      <w:color w:val="auto"/>
                      <w:kern w:val="0"/>
                      <w:szCs w:val="21"/>
                    </w:rPr>
                  </w:pPr>
                  <w:r>
                    <w:rPr>
                      <w:color w:val="auto"/>
                      <w:kern w:val="0"/>
                      <w:szCs w:val="21"/>
                    </w:rPr>
                    <w:t>否</w:t>
                  </w:r>
                </w:p>
              </w:tc>
            </w:tr>
          </w:tbl>
          <w:p>
            <w:pPr>
              <w:adjustRightInd w:val="0"/>
              <w:snapToGrid w:val="0"/>
              <w:spacing w:line="360" w:lineRule="auto"/>
              <w:ind w:firstLine="480" w:firstLineChars="200"/>
              <w:rPr>
                <w:color w:val="auto"/>
                <w:kern w:val="0"/>
                <w:sz w:val="24"/>
              </w:rPr>
            </w:pPr>
            <w:r>
              <w:rPr>
                <w:bCs/>
                <w:color w:val="auto"/>
                <w:sz w:val="24"/>
              </w:rPr>
              <w:t>综上分析，</w:t>
            </w:r>
            <w:r>
              <w:rPr>
                <w:b/>
                <w:bCs w:val="0"/>
                <w:color w:val="auto"/>
                <w:sz w:val="24"/>
              </w:rPr>
              <w:t>本项目无需设置专项评价。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5" w:hRule="atLeast"/>
        </w:trPr>
        <w:tc>
          <w:tcPr>
            <w:tcW w:w="1109" w:type="dxa"/>
            <w:tcMar>
              <w:top w:w="16" w:type="dxa"/>
              <w:left w:w="16" w:type="dxa"/>
              <w:right w:w="16" w:type="dxa"/>
            </w:tcMar>
            <w:vAlign w:val="center"/>
          </w:tcPr>
          <w:p>
            <w:pPr>
              <w:autoSpaceDE w:val="0"/>
              <w:autoSpaceDN w:val="0"/>
              <w:adjustRightInd w:val="0"/>
              <w:snapToGrid w:val="0"/>
              <w:jc w:val="center"/>
              <w:rPr>
                <w:color w:val="auto"/>
                <w:sz w:val="24"/>
              </w:rPr>
            </w:pPr>
            <w:r>
              <w:rPr>
                <w:color w:val="auto"/>
                <w:sz w:val="24"/>
              </w:rPr>
              <w:t>规划情况</w:t>
            </w:r>
          </w:p>
        </w:tc>
        <w:tc>
          <w:tcPr>
            <w:tcW w:w="8605" w:type="dxa"/>
            <w:gridSpan w:val="5"/>
            <w:tcMar>
              <w:top w:w="16" w:type="dxa"/>
              <w:left w:w="16" w:type="dxa"/>
              <w:right w:w="16" w:type="dxa"/>
            </w:tcMar>
            <w:vAlign w:val="center"/>
          </w:tcPr>
          <w:p>
            <w:pPr>
              <w:adjustRightInd w:val="0"/>
              <w:snapToGrid w:val="0"/>
              <w:spacing w:line="360" w:lineRule="auto"/>
              <w:rPr>
                <w:bCs/>
                <w:color w:val="auto"/>
                <w:sz w:val="24"/>
              </w:rPr>
            </w:pPr>
            <w:r>
              <w:rPr>
                <w:bCs/>
                <w:color w:val="auto"/>
                <w:sz w:val="24"/>
              </w:rPr>
              <w:t>1、《四川省“十四五”水安全保障规划》，四川省人民政府，川府发[2021]18号</w:t>
            </w:r>
          </w:p>
          <w:p>
            <w:pPr>
              <w:adjustRightInd w:val="0"/>
              <w:snapToGrid w:val="0"/>
              <w:spacing w:line="360" w:lineRule="auto"/>
              <w:rPr>
                <w:bCs/>
                <w:color w:val="auto"/>
                <w:sz w:val="24"/>
              </w:rPr>
            </w:pPr>
            <w:r>
              <w:rPr>
                <w:bCs/>
                <w:color w:val="auto"/>
                <w:sz w:val="24"/>
              </w:rPr>
              <w:t>2、《四川省防汛抗旱水利提升工程实施方案》</w:t>
            </w:r>
          </w:p>
          <w:p>
            <w:pPr>
              <w:adjustRightInd w:val="0"/>
              <w:snapToGrid w:val="0"/>
              <w:spacing w:line="360" w:lineRule="auto"/>
              <w:rPr>
                <w:rFonts w:hint="eastAsia"/>
                <w:bCs/>
                <w:color w:val="auto"/>
                <w:sz w:val="24"/>
                <w:lang w:val="en-US" w:eastAsia="zh-CN"/>
              </w:rPr>
            </w:pPr>
            <w:r>
              <w:rPr>
                <w:rFonts w:hint="eastAsia"/>
                <w:bCs/>
                <w:color w:val="auto"/>
                <w:sz w:val="24"/>
                <w:lang w:val="en-US" w:eastAsia="zh-CN"/>
              </w:rPr>
              <w:t>3、《嘉陵江流域综合规划》，水利部长江水利委员会</w:t>
            </w:r>
          </w:p>
          <w:p>
            <w:pPr>
              <w:adjustRightInd w:val="0"/>
              <w:snapToGrid w:val="0"/>
              <w:spacing w:line="360" w:lineRule="auto"/>
              <w:rPr>
                <w:rFonts w:hint="default"/>
                <w:bCs/>
                <w:color w:val="auto"/>
                <w:sz w:val="24"/>
                <w:lang w:val="en-US" w:eastAsia="zh-CN"/>
              </w:rPr>
            </w:pPr>
            <w:r>
              <w:rPr>
                <w:rFonts w:hint="eastAsia"/>
                <w:bCs/>
                <w:color w:val="auto"/>
                <w:sz w:val="24"/>
                <w:lang w:val="en-US" w:eastAsia="zh-CN"/>
              </w:rPr>
              <w:t>4、《广元市朝天区国民经济和社会发展第十四个五年规划和二〇三五年远景目标纲要》，广元市朝天区第七届人民代表大会第六次会议批准，2021年3月18日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109" w:type="dxa"/>
            <w:tcMar>
              <w:top w:w="16" w:type="dxa"/>
              <w:left w:w="16" w:type="dxa"/>
              <w:right w:w="16" w:type="dxa"/>
            </w:tcMar>
            <w:vAlign w:val="center"/>
          </w:tcPr>
          <w:p>
            <w:pPr>
              <w:autoSpaceDE w:val="0"/>
              <w:autoSpaceDN w:val="0"/>
              <w:adjustRightInd w:val="0"/>
              <w:snapToGrid w:val="0"/>
              <w:jc w:val="center"/>
              <w:rPr>
                <w:color w:val="auto"/>
                <w:sz w:val="24"/>
              </w:rPr>
            </w:pPr>
            <w:r>
              <w:rPr>
                <w:color w:val="auto"/>
                <w:sz w:val="24"/>
              </w:rPr>
              <w:t>规划环境影响评价情况</w:t>
            </w:r>
          </w:p>
        </w:tc>
        <w:tc>
          <w:tcPr>
            <w:tcW w:w="8605" w:type="dxa"/>
            <w:gridSpan w:val="5"/>
            <w:tcMar>
              <w:top w:w="16" w:type="dxa"/>
              <w:left w:w="16" w:type="dxa"/>
              <w:right w:w="16" w:type="dxa"/>
            </w:tcMar>
            <w:vAlign w:val="center"/>
          </w:tcPr>
          <w:p>
            <w:pPr>
              <w:adjustRightInd w:val="0"/>
              <w:snapToGrid w:val="0"/>
              <w:spacing w:line="360" w:lineRule="auto"/>
              <w:jc w:val="both"/>
              <w:rPr>
                <w:rFonts w:hint="default"/>
                <w:color w:val="auto"/>
                <w:kern w:val="0"/>
                <w:szCs w:val="21"/>
                <w:lang w:val="en-US"/>
              </w:rPr>
            </w:pPr>
            <w:r>
              <w:rPr>
                <w:rFonts w:hint="eastAsia"/>
                <w:bCs/>
                <w:color w:val="auto"/>
                <w:sz w:val="24"/>
                <w:lang w:val="en-US" w:eastAsia="zh-CN"/>
              </w:rPr>
              <w:t>1、《嘉陵江流域综合规划环境影响报告书》，2022年8月获得生态环境部审查意见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00" w:hRule="atLeast"/>
        </w:trPr>
        <w:tc>
          <w:tcPr>
            <w:tcW w:w="1109" w:type="dxa"/>
            <w:tcMar>
              <w:top w:w="16" w:type="dxa"/>
              <w:left w:w="16" w:type="dxa"/>
              <w:right w:w="16" w:type="dxa"/>
            </w:tcMar>
            <w:vAlign w:val="center"/>
          </w:tcPr>
          <w:p>
            <w:pPr>
              <w:autoSpaceDE w:val="0"/>
              <w:autoSpaceDN w:val="0"/>
              <w:adjustRightInd w:val="0"/>
              <w:snapToGrid w:val="0"/>
              <w:jc w:val="center"/>
              <w:rPr>
                <w:color w:val="auto"/>
                <w:sz w:val="24"/>
              </w:rPr>
            </w:pPr>
            <w:r>
              <w:rPr>
                <w:color w:val="auto"/>
                <w:sz w:val="24"/>
              </w:rPr>
              <w:t>规划及规划环境影响评价符合性分析</w:t>
            </w:r>
          </w:p>
        </w:tc>
        <w:tc>
          <w:tcPr>
            <w:tcW w:w="8605" w:type="dxa"/>
            <w:gridSpan w:val="5"/>
            <w:tcMar>
              <w:top w:w="16" w:type="dxa"/>
              <w:left w:w="16" w:type="dxa"/>
              <w:right w:w="16" w:type="dxa"/>
            </w:tcMar>
            <w:vAlign w:val="center"/>
          </w:tcPr>
          <w:p>
            <w:pPr>
              <w:adjustRightInd w:val="0"/>
              <w:snapToGrid w:val="0"/>
              <w:spacing w:line="360" w:lineRule="auto"/>
              <w:ind w:firstLine="482" w:firstLineChars="200"/>
              <w:rPr>
                <w:b/>
                <w:color w:val="auto"/>
                <w:sz w:val="24"/>
              </w:rPr>
            </w:pPr>
            <w:r>
              <w:rPr>
                <w:b/>
                <w:color w:val="auto"/>
                <w:sz w:val="24"/>
              </w:rPr>
              <w:t>一、与《四川省“十四五”水安全保障规划》符合性分析</w:t>
            </w:r>
          </w:p>
          <w:p>
            <w:pPr>
              <w:adjustRightInd w:val="0"/>
              <w:snapToGrid w:val="0"/>
              <w:spacing w:line="360" w:lineRule="auto"/>
              <w:ind w:firstLine="480" w:firstLineChars="200"/>
              <w:rPr>
                <w:bCs/>
                <w:color w:val="auto"/>
                <w:sz w:val="24"/>
              </w:rPr>
            </w:pPr>
            <w:r>
              <w:rPr>
                <w:bCs/>
                <w:color w:val="auto"/>
                <w:sz w:val="24"/>
              </w:rPr>
              <w:t>《规划》提出：提升水旱灾害防御能力：统筹发展与安全，坚持人民至上、生命至上， 切实践行“两个坚持、三个转变”防灾减灾救灾理念，实施防洪提升工程， 解决防汛薄弱环节，强化流域防洪调度，加强洪水风险管理，构建工程措施和非工程措施相结合的现代水旱灾害防治体系，实现“更高标准、更严要求、更快反应、更好效果”，保障人民生命财产安全和经济社会和谐稳定。加强主要江河和中小河流防洪治理：……加强中小河流治理，优先解决城镇河段防洪不达标、近年洪涝灾害频发、河堤损毁严重等问题。</w:t>
            </w:r>
          </w:p>
          <w:p>
            <w:pPr>
              <w:adjustRightInd w:val="0"/>
              <w:snapToGrid w:val="0"/>
              <w:spacing w:line="360" w:lineRule="auto"/>
              <w:ind w:firstLine="480" w:firstLineChars="200"/>
              <w:rPr>
                <w:bCs/>
                <w:color w:val="auto"/>
                <w:sz w:val="24"/>
              </w:rPr>
            </w:pPr>
            <w:r>
              <w:rPr>
                <w:bCs/>
                <w:color w:val="auto"/>
                <w:sz w:val="24"/>
              </w:rPr>
              <w:t>本项目属于广坪河羊木段防洪治理工程，主要目的是提高朝天镇河道行洪能力，完善河段防洪体系，改善沿河人居环境，保护两岸人民群众的生命财产安全，故项目建设符合《四川省“十四五”水安全保障规划》。</w:t>
            </w:r>
          </w:p>
          <w:p>
            <w:pPr>
              <w:adjustRightInd w:val="0"/>
              <w:snapToGrid w:val="0"/>
              <w:spacing w:line="360" w:lineRule="auto"/>
              <w:ind w:firstLine="482" w:firstLineChars="200"/>
              <w:rPr>
                <w:b/>
                <w:color w:val="auto"/>
                <w:sz w:val="24"/>
              </w:rPr>
            </w:pPr>
            <w:r>
              <w:rPr>
                <w:b/>
                <w:color w:val="auto"/>
                <w:sz w:val="24"/>
              </w:rPr>
              <w:t>二、与《四川省防汛抗旱水体提升工程实施方案》符合性分析</w:t>
            </w:r>
          </w:p>
          <w:p>
            <w:pPr>
              <w:adjustRightInd w:val="0"/>
              <w:snapToGrid w:val="0"/>
              <w:spacing w:line="360" w:lineRule="auto"/>
              <w:ind w:firstLine="480" w:firstLineChars="200"/>
              <w:rPr>
                <w:bCs/>
                <w:color w:val="auto"/>
                <w:sz w:val="24"/>
                <w:lang w:bidi="zh-TW"/>
              </w:rPr>
            </w:pPr>
            <w:r>
              <w:rPr>
                <w:bCs/>
                <w:color w:val="auto"/>
                <w:sz w:val="24"/>
                <w:lang w:bidi="zh-TW"/>
              </w:rPr>
              <w:t>本项目为四川省朝天区广坪河羊木段防洪治理工程，项目已列入四川省水利厅、四川省财政厅《关于印发防汛抗旱水利提升工程实施方案中央财政支持项目清单的通知》（川水函﹝2020﹞901号）中—四川省“十四五”中小河流治理项目清单中（详见附件）。</w:t>
            </w:r>
          </w:p>
          <w:p>
            <w:pPr>
              <w:adjustRightInd w:val="0"/>
              <w:snapToGrid w:val="0"/>
              <w:spacing w:line="360" w:lineRule="auto"/>
              <w:ind w:firstLine="482" w:firstLineChars="200"/>
              <w:rPr>
                <w:b/>
                <w:color w:val="auto"/>
                <w:sz w:val="24"/>
                <w:lang w:bidi="zh-TW"/>
              </w:rPr>
            </w:pPr>
            <w:r>
              <w:rPr>
                <w:rFonts w:hint="eastAsia"/>
                <w:b/>
                <w:color w:val="auto"/>
                <w:sz w:val="24"/>
                <w:lang w:val="en-US" w:eastAsia="zh-CN" w:bidi="zh-TW"/>
              </w:rPr>
              <w:t>三</w:t>
            </w:r>
            <w:r>
              <w:rPr>
                <w:b/>
                <w:color w:val="auto"/>
                <w:sz w:val="24"/>
                <w:lang w:bidi="zh-TW"/>
              </w:rPr>
              <w:t>、项目与《嘉陵江流域综合规划》符合性分析</w:t>
            </w:r>
          </w:p>
          <w:p>
            <w:pPr>
              <w:autoSpaceDE w:val="0"/>
              <w:autoSpaceDN w:val="0"/>
              <w:adjustRightInd w:val="0"/>
              <w:snapToGrid w:val="0"/>
              <w:spacing w:line="360" w:lineRule="auto"/>
              <w:ind w:firstLine="480" w:firstLineChars="200"/>
              <w:rPr>
                <w:color w:val="auto"/>
                <w:kern w:val="0"/>
                <w:sz w:val="24"/>
              </w:rPr>
            </w:pPr>
            <w:r>
              <w:rPr>
                <w:color w:val="auto"/>
                <w:kern w:val="0"/>
                <w:sz w:val="24"/>
              </w:rPr>
              <w:t>根据《嘉陵江流域综合规划》中防洪规划：采用工程措施和非工程措施相结合的综合防治方案，可显著提高嘉陵江中下游沿江两岸城乡的抗洪能力，其中广元市、南充市和北碚城区的抗洪能力可提高到50年一遇，其它沿江县级城镇的抗洪能力可提高到20年一遇，沿江乡镇和其它相对集中居民区及农田的抗洪能力可提高到10年一遇标准。</w:t>
            </w:r>
          </w:p>
          <w:p>
            <w:pPr>
              <w:adjustRightInd w:val="0"/>
              <w:snapToGrid w:val="0"/>
              <w:spacing w:line="360" w:lineRule="auto"/>
              <w:ind w:firstLine="480" w:firstLineChars="200"/>
              <w:rPr>
                <w:rFonts w:hint="eastAsia"/>
                <w:color w:val="auto"/>
                <w:kern w:val="0"/>
                <w:sz w:val="24"/>
                <w:lang w:val="en-US" w:eastAsia="zh-CN"/>
              </w:rPr>
            </w:pPr>
            <w:r>
              <w:rPr>
                <w:color w:val="auto"/>
                <w:kern w:val="0"/>
                <w:sz w:val="24"/>
              </w:rPr>
              <w:t>本项目施工所在河段为广坪河，为嘉陵江一级支流，本项目堤防工程防洪标准确定为10年一遇洪水，洪水保护区排涝标准为5年一遇，符合《嘉陵江流域综合规划》</w:t>
            </w:r>
            <w:r>
              <w:rPr>
                <w:rFonts w:hint="eastAsia"/>
                <w:color w:val="auto"/>
                <w:kern w:val="0"/>
                <w:sz w:val="24"/>
                <w:lang w:val="en-US" w:eastAsia="zh-CN"/>
              </w:rPr>
              <w:t xml:space="preserve"> 。</w:t>
            </w:r>
          </w:p>
          <w:p>
            <w:pPr>
              <w:adjustRightInd w:val="0"/>
              <w:snapToGrid w:val="0"/>
              <w:spacing w:line="360" w:lineRule="auto"/>
              <w:ind w:firstLine="482" w:firstLineChars="200"/>
              <w:rPr>
                <w:rFonts w:hint="default"/>
                <w:b/>
                <w:bCs/>
                <w:color w:val="auto"/>
                <w:kern w:val="0"/>
                <w:sz w:val="24"/>
                <w:lang w:val="en-US" w:eastAsia="zh-CN"/>
              </w:rPr>
            </w:pPr>
            <w:r>
              <w:rPr>
                <w:rFonts w:hint="eastAsia"/>
                <w:b/>
                <w:bCs/>
                <w:color w:val="auto"/>
                <w:kern w:val="0"/>
                <w:sz w:val="24"/>
                <w:lang w:val="en-US" w:eastAsia="zh-CN"/>
              </w:rPr>
              <w:t>四、项目与《广元市朝天区国民经济和社会发展第十四个五年规划和二〇三五年远景目标纲要》符合性分析</w:t>
            </w:r>
          </w:p>
          <w:p>
            <w:pPr>
              <w:adjustRightInd w:val="0"/>
              <w:snapToGrid w:val="0"/>
              <w:spacing w:line="360" w:lineRule="auto"/>
              <w:ind w:firstLine="480" w:firstLineChars="200"/>
              <w:rPr>
                <w:rFonts w:hint="eastAsia"/>
                <w:bCs/>
                <w:color w:val="auto"/>
                <w:sz w:val="24"/>
                <w:lang w:val="en-US" w:eastAsia="zh-CN" w:bidi="zh-TW"/>
              </w:rPr>
            </w:pPr>
            <w:r>
              <w:rPr>
                <w:rFonts w:hint="eastAsia"/>
                <w:bCs/>
                <w:color w:val="auto"/>
                <w:sz w:val="24"/>
                <w:lang w:val="en-US" w:eastAsia="zh-CN" w:bidi="zh-TW"/>
              </w:rPr>
              <w:t>根据《</w:t>
            </w:r>
            <w:r>
              <w:rPr>
                <w:rFonts w:hint="eastAsia"/>
                <w:color w:val="auto"/>
                <w:kern w:val="0"/>
                <w:sz w:val="24"/>
                <w:lang w:val="en-US" w:eastAsia="zh-CN"/>
              </w:rPr>
              <w:t>广元市朝天区国民经济和社会发展第十四个五年规划和二〇三五年远景目标纲要</w:t>
            </w:r>
            <w:r>
              <w:rPr>
                <w:rFonts w:hint="eastAsia"/>
                <w:bCs/>
                <w:color w:val="auto"/>
                <w:sz w:val="24"/>
                <w:lang w:val="en-US" w:eastAsia="zh-CN" w:bidi="zh-TW"/>
              </w:rPr>
              <w:t>》中构建新型水旱灾害防御体系相关内容：“实施嘉陵江、潜溪河、广坪河等大中小河流及山洪沟治理工程。新建嘉陵江大滩镇段、观音坝飞仙关段、徐家坝段防洪堤工程；建成潜溪河转斗段、中子段、</w:t>
            </w:r>
            <w:r>
              <w:rPr>
                <w:rFonts w:hint="eastAsia"/>
                <w:b/>
                <w:bCs w:val="0"/>
                <w:color w:val="auto"/>
                <w:sz w:val="24"/>
                <w:lang w:val="en-US" w:eastAsia="zh-CN" w:bidi="zh-TW"/>
              </w:rPr>
              <w:t>广坪河羊木段</w:t>
            </w:r>
            <w:r>
              <w:rPr>
                <w:rFonts w:hint="eastAsia"/>
                <w:bCs/>
                <w:color w:val="auto"/>
                <w:sz w:val="24"/>
                <w:lang w:val="en-US" w:eastAsia="zh-CN" w:bidi="zh-TW"/>
              </w:rPr>
              <w:t>等4处中小河流治理工程；治理转斗河等14条山洪沟；整治水库6座。”</w:t>
            </w:r>
          </w:p>
          <w:p>
            <w:pPr>
              <w:adjustRightInd w:val="0"/>
              <w:snapToGrid w:val="0"/>
              <w:spacing w:line="360" w:lineRule="auto"/>
              <w:ind w:firstLine="480" w:firstLineChars="200"/>
              <w:rPr>
                <w:b/>
                <w:color w:val="auto"/>
                <w:szCs w:val="21"/>
              </w:rPr>
            </w:pPr>
            <w:r>
              <w:rPr>
                <w:rFonts w:hint="eastAsia"/>
                <w:bCs/>
                <w:color w:val="auto"/>
                <w:sz w:val="24"/>
                <w:lang w:val="en-US" w:eastAsia="zh-CN" w:bidi="zh-TW"/>
              </w:rPr>
              <w:t>本项目为四川省朝天区广坪河羊木段防洪治理工程，其建设可增强广坪河河道行洪、泄洪能力，可以减小洪水对两岸的威胁，符合《广元市朝天区国民经济和社会发展第十四个五年规划和二〇三五年远景目标纲要》相关要求</w:t>
            </w:r>
            <w:r>
              <w:rPr>
                <w:bCs/>
                <w:color w:val="auto"/>
                <w:sz w:val="24"/>
                <w:lang w:bidi="zh-TW"/>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 w:hRule="atLeast"/>
        </w:trPr>
        <w:tc>
          <w:tcPr>
            <w:tcW w:w="1109" w:type="dxa"/>
            <w:tcMar>
              <w:top w:w="16" w:type="dxa"/>
              <w:left w:w="16" w:type="dxa"/>
              <w:right w:w="16" w:type="dxa"/>
            </w:tcMar>
            <w:vAlign w:val="center"/>
          </w:tcPr>
          <w:p>
            <w:pPr>
              <w:autoSpaceDE w:val="0"/>
              <w:autoSpaceDN w:val="0"/>
              <w:adjustRightInd w:val="0"/>
              <w:snapToGrid w:val="0"/>
              <w:jc w:val="center"/>
              <w:rPr>
                <w:color w:val="auto"/>
                <w:kern w:val="0"/>
                <w:sz w:val="24"/>
              </w:rPr>
            </w:pPr>
            <w:bookmarkStart w:id="2" w:name="_Hlk56690880"/>
            <w:r>
              <w:rPr>
                <w:color w:val="auto"/>
                <w:kern w:val="0"/>
                <w:sz w:val="24"/>
              </w:rPr>
              <w:t>其他符合性分析</w:t>
            </w:r>
            <w:bookmarkEnd w:id="2"/>
          </w:p>
        </w:tc>
        <w:tc>
          <w:tcPr>
            <w:tcW w:w="8605" w:type="dxa"/>
            <w:gridSpan w:val="5"/>
            <w:tcMar>
              <w:top w:w="16" w:type="dxa"/>
              <w:left w:w="16" w:type="dxa"/>
              <w:right w:w="16" w:type="dxa"/>
            </w:tcMar>
            <w:vAlign w:val="center"/>
          </w:tcPr>
          <w:p>
            <w:pPr>
              <w:pStyle w:val="63"/>
              <w:adjustRightInd w:val="0"/>
              <w:snapToGrid w:val="0"/>
              <w:spacing w:line="360" w:lineRule="auto"/>
              <w:jc w:val="left"/>
              <w:rPr>
                <w:b/>
                <w:color w:val="auto"/>
                <w:sz w:val="24"/>
                <w:lang w:bidi="zh-TW"/>
              </w:rPr>
            </w:pPr>
            <w:r>
              <w:rPr>
                <w:b/>
                <w:color w:val="auto"/>
                <w:sz w:val="24"/>
                <w:lang w:bidi="zh-TW"/>
              </w:rPr>
              <w:t>一、与“三线一单”的符合性分析</w:t>
            </w:r>
          </w:p>
          <w:p>
            <w:pPr>
              <w:adjustRightInd w:val="0"/>
              <w:snapToGrid w:val="0"/>
              <w:spacing w:line="360" w:lineRule="auto"/>
              <w:ind w:firstLine="482" w:firstLineChars="200"/>
              <w:rPr>
                <w:b/>
                <w:bCs/>
                <w:color w:val="auto"/>
                <w:sz w:val="24"/>
                <w:lang w:bidi="zh-TW"/>
              </w:rPr>
            </w:pPr>
            <w:r>
              <w:rPr>
                <w:b/>
                <w:bCs/>
                <w:color w:val="auto"/>
                <w:sz w:val="24"/>
                <w:lang w:bidi="zh-TW"/>
              </w:rPr>
              <w:t>1、与《四川省人民政府关于落实生态保护红线、环境质量底线、资源利用上线制定生态环境准入清单实施生态环境分区管控的通知》（川府发〔2020〕9 号）符合性分析</w:t>
            </w:r>
          </w:p>
          <w:p>
            <w:pPr>
              <w:adjustRightInd w:val="0"/>
              <w:snapToGrid w:val="0"/>
              <w:spacing w:line="360" w:lineRule="auto"/>
              <w:ind w:firstLine="480" w:firstLineChars="200"/>
              <w:rPr>
                <w:bCs/>
                <w:color w:val="auto"/>
                <w:sz w:val="24"/>
                <w:lang w:bidi="zh-TW"/>
              </w:rPr>
            </w:pPr>
            <w:r>
              <w:rPr>
                <w:bCs/>
                <w:color w:val="auto"/>
                <w:sz w:val="24"/>
                <w:lang w:bidi="zh-TW"/>
              </w:rPr>
              <w:t>2020年6月28日，四川省人民政府办公厅印发《四川省人民政府关于落实生态保护红线、环境质量底线、资源利用上线制定生态环境准入清单实施生态环境分区管控的通知》（川府发〔2020〕9号），就落实生态保护红线、环境质量底线、资源利用上线，制定生态环境准入清单（简称“三线一单”），建立生态环境分区管控体系并监督实施提出要求。</w:t>
            </w:r>
          </w:p>
          <w:p>
            <w:pPr>
              <w:adjustRightInd w:val="0"/>
              <w:snapToGrid w:val="0"/>
              <w:spacing w:line="360" w:lineRule="auto"/>
              <w:ind w:firstLine="480" w:firstLineChars="200"/>
              <w:rPr>
                <w:bCs/>
                <w:color w:val="auto"/>
                <w:sz w:val="24"/>
                <w:lang w:bidi="zh-TW"/>
              </w:rPr>
            </w:pPr>
            <w:r>
              <w:rPr>
                <w:bCs/>
                <w:color w:val="auto"/>
                <w:sz w:val="24"/>
                <w:lang w:bidi="zh-TW"/>
              </w:rPr>
              <w:t>根据本项目“三线一单”符合性分析结果（截图见图1-1至图1-4），本项目涉及到环境管控单元12个，涉及到管控单元见下表。</w:t>
            </w:r>
          </w:p>
          <w:p>
            <w:pPr>
              <w:keepNext/>
              <w:adjustRightInd w:val="0"/>
              <w:snapToGrid w:val="0"/>
              <w:jc w:val="center"/>
              <w:rPr>
                <w:color w:val="auto"/>
              </w:rPr>
            </w:pPr>
            <w:r>
              <w:rPr>
                <w:color w:val="auto"/>
              </w:rPr>
              <mc:AlternateContent>
                <mc:Choice Requires="wps">
                  <w:drawing>
                    <wp:anchor distT="0" distB="0" distL="114300" distR="114300" simplePos="0" relativeHeight="251659264" behindDoc="0" locked="0" layoutInCell="1" allowOverlap="1">
                      <wp:simplePos x="0" y="0"/>
                      <wp:positionH relativeFrom="column">
                        <wp:posOffset>3121660</wp:posOffset>
                      </wp:positionH>
                      <wp:positionV relativeFrom="paragraph">
                        <wp:posOffset>1938020</wp:posOffset>
                      </wp:positionV>
                      <wp:extent cx="45085" cy="45085"/>
                      <wp:effectExtent l="0" t="0" r="12065" b="12065"/>
                      <wp:wrapNone/>
                      <wp:docPr id="1" name="星形: 五角 1"/>
                      <wp:cNvGraphicFramePr/>
                      <a:graphic xmlns:a="http://schemas.openxmlformats.org/drawingml/2006/main">
                        <a:graphicData uri="http://schemas.microsoft.com/office/word/2010/wordprocessingShape">
                          <wps:wsp>
                            <wps:cNvSpPr/>
                            <wps:spPr>
                              <a:xfrm>
                                <a:off x="0" y="0"/>
                                <a:ext cx="45085" cy="45085"/>
                              </a:xfrm>
                              <a:prstGeom prst="star5">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 o:spid="_x0000_s1026" style="position:absolute;left:0pt;margin-left:245.8pt;margin-top:152.6pt;height:3.55pt;width:3.55pt;z-index:251659264;v-text-anchor:middle;mso-width-relative:page;mso-height-relative:page;" fillcolor="#FF0000" filled="t" stroked="f" coordsize="45085,45085" o:gfxdata="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bXmJ7cAAAACwEAAA8AAAAAAAAAAQAgAAAAIgAAAGRycy9kb3du&#10;cmV2LnhtbFBLAQIUABQAAAAIAIdO4kCOSpv3bQIAAMgEAAAOAAAAAAAAAAEAIAAAACsBAABkcnMv&#10;ZTJvRG9jLnhtbFBLBQYAAAAABgAGAFkBAAAKBgAAAAA=&#10;" path="m0,17220l17221,17221,22542,0,27863,17221,45084,17220,31152,27863,36474,45084,22542,34441,8610,45084,13932,27863xe">
                      <v:path o:connectlocs="22542,0;0,17220;8610,45084;36474,45084;45084,17220" o:connectangles="247,164,82,82,0"/>
                      <v:fill on="t" focussize="0,0"/>
                      <v:stroke on="f" weight="2pt"/>
                      <v:imagedata o:title=""/>
                      <o:lock v:ext="edit" aspectratio="f"/>
                    </v:shape>
                  </w:pict>
                </mc:Fallback>
              </mc:AlternateContent>
            </w:r>
            <w:r>
              <w:rPr>
                <w:color w:val="auto"/>
              </w:rPr>
              <w:drawing>
                <wp:inline distT="0" distB="0" distL="114300" distR="114300">
                  <wp:extent cx="5436870" cy="4138295"/>
                  <wp:effectExtent l="0" t="0" r="11430" b="14605"/>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10"/>
                          <a:stretch>
                            <a:fillRect/>
                          </a:stretch>
                        </pic:blipFill>
                        <pic:spPr>
                          <a:xfrm>
                            <a:off x="0" y="0"/>
                            <a:ext cx="5436870" cy="4138295"/>
                          </a:xfrm>
                          <a:prstGeom prst="rect">
                            <a:avLst/>
                          </a:prstGeom>
                          <a:noFill/>
                          <a:ln>
                            <a:noFill/>
                          </a:ln>
                        </pic:spPr>
                      </pic:pic>
                    </a:graphicData>
                  </a:graphic>
                </wp:inline>
              </w:drawing>
            </w:r>
          </w:p>
          <w:p>
            <w:pPr>
              <w:pStyle w:val="63"/>
              <w:numPr>
                <w:ilvl w:val="0"/>
                <w:numId w:val="4"/>
              </w:numPr>
              <w:spacing w:line="360" w:lineRule="auto"/>
              <w:ind w:left="0" w:firstLine="0"/>
              <w:rPr>
                <w:b/>
                <w:color w:val="auto"/>
                <w:szCs w:val="21"/>
                <w:lang w:bidi="zh-TW"/>
              </w:rPr>
            </w:pPr>
            <w:r>
              <w:rPr>
                <w:b/>
                <w:color w:val="auto"/>
                <w:szCs w:val="21"/>
                <w:lang w:bidi="zh-TW"/>
              </w:rPr>
              <w:t>项目起点“三线一单”符合性分析结果截图</w:t>
            </w:r>
          </w:p>
          <w:p>
            <w:pPr>
              <w:pStyle w:val="63"/>
              <w:spacing w:line="360" w:lineRule="auto"/>
              <w:rPr>
                <w:b/>
                <w:color w:val="auto"/>
                <w:szCs w:val="21"/>
                <w:lang w:bidi="zh-TW"/>
              </w:rPr>
            </w:pPr>
            <w:r>
              <w:rPr>
                <w:color w:val="auto"/>
              </w:rPr>
              <w:drawing>
                <wp:inline distT="0" distB="0" distL="114300" distR="114300">
                  <wp:extent cx="5441315" cy="4246245"/>
                  <wp:effectExtent l="0" t="0" r="6985" b="1905"/>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pic:cNvPicPr>
                        </pic:nvPicPr>
                        <pic:blipFill>
                          <a:blip r:embed="rId11"/>
                          <a:stretch>
                            <a:fillRect/>
                          </a:stretch>
                        </pic:blipFill>
                        <pic:spPr>
                          <a:xfrm>
                            <a:off x="0" y="0"/>
                            <a:ext cx="5441315" cy="4246245"/>
                          </a:xfrm>
                          <a:prstGeom prst="rect">
                            <a:avLst/>
                          </a:prstGeom>
                          <a:noFill/>
                          <a:ln>
                            <a:noFill/>
                          </a:ln>
                        </pic:spPr>
                      </pic:pic>
                    </a:graphicData>
                  </a:graphic>
                </wp:inline>
              </w:drawing>
            </w:r>
          </w:p>
          <w:p>
            <w:pPr>
              <w:pStyle w:val="63"/>
              <w:numPr>
                <w:ilvl w:val="0"/>
                <w:numId w:val="4"/>
              </w:numPr>
              <w:spacing w:line="360" w:lineRule="auto"/>
              <w:ind w:left="0" w:firstLine="0"/>
              <w:rPr>
                <w:b/>
                <w:color w:val="auto"/>
                <w:szCs w:val="21"/>
                <w:lang w:bidi="zh-TW"/>
              </w:rPr>
            </w:pPr>
            <w:r>
              <w:rPr>
                <w:b/>
                <w:color w:val="auto"/>
                <w:szCs w:val="21"/>
              </w:rPr>
              <w:t>项目中段“三线一单”符合性分析结果截图</w:t>
            </w:r>
          </w:p>
          <w:p>
            <w:pPr>
              <w:pStyle w:val="63"/>
              <w:spacing w:line="360" w:lineRule="auto"/>
              <w:rPr>
                <w:b/>
                <w:color w:val="auto"/>
                <w:szCs w:val="21"/>
                <w:lang w:bidi="zh-TW"/>
              </w:rPr>
            </w:pPr>
            <w:r>
              <w:rPr>
                <w:color w:val="auto"/>
              </w:rPr>
              <w:drawing>
                <wp:inline distT="0" distB="0" distL="114300" distR="114300">
                  <wp:extent cx="5437505" cy="4211320"/>
                  <wp:effectExtent l="0" t="0" r="10795" b="17780"/>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12"/>
                          <a:stretch>
                            <a:fillRect/>
                          </a:stretch>
                        </pic:blipFill>
                        <pic:spPr>
                          <a:xfrm>
                            <a:off x="0" y="0"/>
                            <a:ext cx="5437505" cy="4211320"/>
                          </a:xfrm>
                          <a:prstGeom prst="rect">
                            <a:avLst/>
                          </a:prstGeom>
                          <a:noFill/>
                          <a:ln>
                            <a:noFill/>
                          </a:ln>
                        </pic:spPr>
                      </pic:pic>
                    </a:graphicData>
                  </a:graphic>
                </wp:inline>
              </w:drawing>
            </w:r>
          </w:p>
          <w:p>
            <w:pPr>
              <w:pStyle w:val="63"/>
              <w:numPr>
                <w:ilvl w:val="0"/>
                <w:numId w:val="4"/>
              </w:numPr>
              <w:spacing w:line="360" w:lineRule="auto"/>
              <w:ind w:left="0" w:firstLine="0"/>
              <w:rPr>
                <w:b/>
                <w:color w:val="auto"/>
                <w:szCs w:val="21"/>
                <w:lang w:bidi="zh-TW"/>
              </w:rPr>
            </w:pPr>
            <w:r>
              <w:rPr>
                <w:b/>
                <w:color w:val="auto"/>
                <w:szCs w:val="21"/>
                <w:lang w:bidi="zh-TW"/>
              </w:rPr>
              <w:t>项目后段“三线一单”符合性分析结果截图</w:t>
            </w:r>
          </w:p>
          <w:p>
            <w:pPr>
              <w:pStyle w:val="63"/>
              <w:spacing w:line="360" w:lineRule="auto"/>
              <w:rPr>
                <w:b/>
                <w:color w:val="auto"/>
                <w:szCs w:val="21"/>
                <w:lang w:bidi="zh-TW"/>
              </w:rPr>
            </w:pPr>
            <w:r>
              <w:rPr>
                <w:color w:val="auto"/>
              </w:rPr>
              <w:drawing>
                <wp:inline distT="0" distB="0" distL="114300" distR="114300">
                  <wp:extent cx="5443855" cy="4262120"/>
                  <wp:effectExtent l="0" t="0" r="4445" b="5080"/>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13"/>
                          <a:stretch>
                            <a:fillRect/>
                          </a:stretch>
                        </pic:blipFill>
                        <pic:spPr>
                          <a:xfrm>
                            <a:off x="0" y="0"/>
                            <a:ext cx="5443855" cy="4262120"/>
                          </a:xfrm>
                          <a:prstGeom prst="rect">
                            <a:avLst/>
                          </a:prstGeom>
                          <a:noFill/>
                          <a:ln>
                            <a:noFill/>
                          </a:ln>
                        </pic:spPr>
                      </pic:pic>
                    </a:graphicData>
                  </a:graphic>
                </wp:inline>
              </w:drawing>
            </w:r>
          </w:p>
          <w:p>
            <w:pPr>
              <w:pStyle w:val="63"/>
              <w:numPr>
                <w:ilvl w:val="0"/>
                <w:numId w:val="4"/>
              </w:numPr>
              <w:spacing w:line="360" w:lineRule="auto"/>
              <w:ind w:left="0" w:firstLine="0"/>
              <w:rPr>
                <w:b/>
                <w:color w:val="auto"/>
                <w:szCs w:val="21"/>
                <w:lang w:bidi="zh-TW"/>
              </w:rPr>
            </w:pPr>
            <w:r>
              <w:rPr>
                <w:b/>
                <w:color w:val="auto"/>
                <w:szCs w:val="21"/>
                <w:lang w:bidi="zh-TW"/>
              </w:rPr>
              <w:t>项目终点“三线一单”符合性分析结果截图</w:t>
            </w:r>
          </w:p>
          <w:p>
            <w:pPr>
              <w:adjustRightInd w:val="0"/>
              <w:snapToGrid w:val="0"/>
              <w:spacing w:line="360" w:lineRule="auto"/>
              <w:ind w:firstLine="480" w:firstLineChars="200"/>
              <w:rPr>
                <w:color w:val="auto"/>
                <w:sz w:val="24"/>
              </w:rPr>
            </w:pPr>
            <w:r>
              <w:rPr>
                <w:color w:val="auto"/>
                <w:sz w:val="24"/>
              </w:rPr>
              <w:t>本项目涉及管控单元汇总如下。</w:t>
            </w:r>
          </w:p>
          <w:p>
            <w:pPr>
              <w:pStyle w:val="63"/>
              <w:numPr>
                <w:ilvl w:val="0"/>
                <w:numId w:val="5"/>
              </w:numPr>
              <w:autoSpaceDE w:val="0"/>
              <w:autoSpaceDN w:val="0"/>
              <w:adjustRightInd w:val="0"/>
              <w:snapToGrid w:val="0"/>
              <w:ind w:left="0" w:firstLine="0"/>
              <w:rPr>
                <w:b/>
                <w:color w:val="auto"/>
                <w:szCs w:val="21"/>
              </w:rPr>
            </w:pPr>
            <w:r>
              <w:rPr>
                <w:b/>
                <w:color w:val="auto"/>
                <w:szCs w:val="21"/>
              </w:rPr>
              <w:t>项目所涉及的环境管控单元清单</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145"/>
              <w:gridCol w:w="1704"/>
              <w:gridCol w:w="1113"/>
              <w:gridCol w:w="1130"/>
              <w:gridCol w:w="1102"/>
              <w:gridCol w:w="16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Align w:val="center"/>
                </w:tcPr>
                <w:p>
                  <w:pPr>
                    <w:widowControl/>
                    <w:jc w:val="center"/>
                    <w:rPr>
                      <w:color w:val="auto"/>
                      <w:szCs w:val="21"/>
                    </w:rPr>
                  </w:pPr>
                  <w:r>
                    <w:rPr>
                      <w:b/>
                      <w:bCs/>
                      <w:color w:val="auto"/>
                      <w:kern w:val="0"/>
                      <w:szCs w:val="21"/>
                    </w:rPr>
                    <w:t>序号</w:t>
                  </w:r>
                </w:p>
              </w:tc>
              <w:tc>
                <w:tcPr>
                  <w:tcW w:w="667" w:type="pct"/>
                  <w:vAlign w:val="center"/>
                </w:tcPr>
                <w:p>
                  <w:pPr>
                    <w:widowControl/>
                    <w:jc w:val="center"/>
                    <w:rPr>
                      <w:b/>
                      <w:bCs/>
                      <w:color w:val="auto"/>
                      <w:kern w:val="0"/>
                      <w:szCs w:val="21"/>
                    </w:rPr>
                  </w:pPr>
                  <w:r>
                    <w:rPr>
                      <w:b/>
                      <w:bCs/>
                      <w:color w:val="auto"/>
                      <w:kern w:val="0"/>
                      <w:szCs w:val="21"/>
                    </w:rPr>
                    <w:t>管控单元编码</w:t>
                  </w:r>
                </w:p>
              </w:tc>
              <w:tc>
                <w:tcPr>
                  <w:tcW w:w="993" w:type="pct"/>
                  <w:vAlign w:val="center"/>
                </w:tcPr>
                <w:p>
                  <w:pPr>
                    <w:widowControl/>
                    <w:jc w:val="center"/>
                    <w:rPr>
                      <w:b/>
                      <w:bCs/>
                      <w:color w:val="auto"/>
                      <w:kern w:val="0"/>
                      <w:szCs w:val="21"/>
                    </w:rPr>
                  </w:pPr>
                  <w:r>
                    <w:rPr>
                      <w:b/>
                      <w:bCs/>
                      <w:color w:val="auto"/>
                      <w:kern w:val="0"/>
                      <w:szCs w:val="21"/>
                    </w:rPr>
                    <w:t>管控单元名称</w:t>
                  </w:r>
                </w:p>
              </w:tc>
              <w:tc>
                <w:tcPr>
                  <w:tcW w:w="649" w:type="pct"/>
                  <w:vAlign w:val="center"/>
                </w:tcPr>
                <w:p>
                  <w:pPr>
                    <w:widowControl/>
                    <w:jc w:val="center"/>
                    <w:rPr>
                      <w:b/>
                      <w:bCs/>
                      <w:color w:val="auto"/>
                      <w:kern w:val="0"/>
                      <w:szCs w:val="21"/>
                    </w:rPr>
                  </w:pPr>
                  <w:r>
                    <w:rPr>
                      <w:b/>
                      <w:bCs/>
                      <w:color w:val="auto"/>
                      <w:kern w:val="0"/>
                      <w:szCs w:val="21"/>
                    </w:rPr>
                    <w:t>所属城市</w:t>
                  </w:r>
                </w:p>
              </w:tc>
              <w:tc>
                <w:tcPr>
                  <w:tcW w:w="659" w:type="pct"/>
                  <w:vAlign w:val="center"/>
                </w:tcPr>
                <w:p>
                  <w:pPr>
                    <w:widowControl/>
                    <w:jc w:val="center"/>
                    <w:rPr>
                      <w:b/>
                      <w:bCs/>
                      <w:color w:val="auto"/>
                      <w:kern w:val="0"/>
                      <w:szCs w:val="21"/>
                    </w:rPr>
                  </w:pPr>
                  <w:r>
                    <w:rPr>
                      <w:b/>
                      <w:bCs/>
                      <w:color w:val="auto"/>
                      <w:kern w:val="0"/>
                      <w:szCs w:val="21"/>
                    </w:rPr>
                    <w:t>所属区县</w:t>
                  </w:r>
                </w:p>
              </w:tc>
              <w:tc>
                <w:tcPr>
                  <w:tcW w:w="643" w:type="pct"/>
                  <w:vAlign w:val="center"/>
                </w:tcPr>
                <w:p>
                  <w:pPr>
                    <w:widowControl/>
                    <w:jc w:val="center"/>
                    <w:rPr>
                      <w:b/>
                      <w:bCs/>
                      <w:color w:val="auto"/>
                      <w:kern w:val="0"/>
                      <w:szCs w:val="21"/>
                    </w:rPr>
                  </w:pPr>
                  <w:r>
                    <w:rPr>
                      <w:b/>
                      <w:bCs/>
                      <w:color w:val="auto"/>
                      <w:kern w:val="0"/>
                      <w:szCs w:val="21"/>
                    </w:rPr>
                    <w:t>准入清单类型</w:t>
                  </w:r>
                </w:p>
              </w:tc>
              <w:tc>
                <w:tcPr>
                  <w:tcW w:w="940" w:type="pct"/>
                  <w:vAlign w:val="center"/>
                </w:tcPr>
                <w:p>
                  <w:pPr>
                    <w:widowControl/>
                    <w:jc w:val="center"/>
                    <w:rPr>
                      <w:b/>
                      <w:bCs/>
                      <w:color w:val="auto"/>
                      <w:kern w:val="0"/>
                      <w:szCs w:val="21"/>
                    </w:rPr>
                  </w:pPr>
                  <w:r>
                    <w:rPr>
                      <w:b/>
                      <w:bCs/>
                      <w:color w:val="auto"/>
                      <w:kern w:val="0"/>
                      <w:szCs w:val="21"/>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1</w:t>
                  </w:r>
                </w:p>
              </w:tc>
              <w:tc>
                <w:tcPr>
                  <w:tcW w:w="66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ZH51081210001</w:t>
                  </w:r>
                </w:p>
              </w:tc>
              <w:tc>
                <w:tcPr>
                  <w:tcW w:w="993" w:type="pct"/>
                  <w:vAlign w:val="center"/>
                </w:tcPr>
                <w:p>
                  <w:pPr>
                    <w:jc w:val="center"/>
                    <w:rPr>
                      <w:color w:val="auto"/>
                    </w:rPr>
                  </w:pPr>
                  <w:r>
                    <w:rPr>
                      <w:color w:val="auto"/>
                    </w:rPr>
                    <w:t>四川水磨沟自然保护区、剑门蜀道风景名胜区、朝天区潜溪河龙洞背、安乐河饮用水源地、嘉陵江源湿地自然保护区、四川广元朝天地质公园等</w:t>
                  </w:r>
                </w:p>
              </w:tc>
              <w:tc>
                <w:tcPr>
                  <w:tcW w:w="64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环境管控单元</w:t>
                  </w:r>
                </w:p>
              </w:tc>
              <w:tc>
                <w:tcPr>
                  <w:tcW w:w="940"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环境综合管控单元优先保护单元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2</w:t>
                  </w:r>
                </w:p>
              </w:tc>
              <w:tc>
                <w:tcPr>
                  <w:tcW w:w="66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YS5108121110001</w:t>
                  </w:r>
                </w:p>
              </w:tc>
              <w:tc>
                <w:tcPr>
                  <w:tcW w:w="99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生态优先保护区（生态保护红线）7</w:t>
                  </w:r>
                </w:p>
              </w:tc>
              <w:tc>
                <w:tcPr>
                  <w:tcW w:w="64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生态空间分区</w:t>
                  </w:r>
                </w:p>
              </w:tc>
              <w:tc>
                <w:tcPr>
                  <w:tcW w:w="940"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生态空间分区生态保护红线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3</w:t>
                  </w:r>
                </w:p>
              </w:tc>
              <w:tc>
                <w:tcPr>
                  <w:tcW w:w="66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YS5108121210003</w:t>
                  </w:r>
                </w:p>
              </w:tc>
              <w:tc>
                <w:tcPr>
                  <w:tcW w:w="99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四川嘉陵江源湿地市级自然保护区-朝天区-优先保护区</w:t>
                  </w:r>
                </w:p>
              </w:tc>
              <w:tc>
                <w:tcPr>
                  <w:tcW w:w="64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水环境管控分区</w:t>
                  </w:r>
                </w:p>
              </w:tc>
              <w:tc>
                <w:tcPr>
                  <w:tcW w:w="940"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水环境优先保护区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4</w:t>
                  </w:r>
                </w:p>
              </w:tc>
              <w:tc>
                <w:tcPr>
                  <w:tcW w:w="66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YS5108122610050</w:t>
                  </w:r>
                </w:p>
              </w:tc>
              <w:tc>
                <w:tcPr>
                  <w:tcW w:w="99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重点管控岸线-嘉陵江-城镇及工业开发边界范围</w:t>
                  </w:r>
                </w:p>
              </w:tc>
              <w:tc>
                <w:tcPr>
                  <w:tcW w:w="64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岸线管控分区</w:t>
                  </w:r>
                </w:p>
              </w:tc>
              <w:tc>
                <w:tcPr>
                  <w:tcW w:w="940"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重点管控岸线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5</w:t>
                  </w:r>
                </w:p>
              </w:tc>
              <w:tc>
                <w:tcPr>
                  <w:tcW w:w="66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YS5108122320001</w:t>
                  </w:r>
                </w:p>
              </w:tc>
              <w:tc>
                <w:tcPr>
                  <w:tcW w:w="99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朝天区大气环境布局敏感重点管控区</w:t>
                  </w:r>
                </w:p>
              </w:tc>
              <w:tc>
                <w:tcPr>
                  <w:tcW w:w="64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大气环境管控分区</w:t>
                  </w:r>
                </w:p>
              </w:tc>
              <w:tc>
                <w:tcPr>
                  <w:tcW w:w="940"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大气环境布局敏感重点管控区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6</w:t>
                  </w:r>
                </w:p>
              </w:tc>
              <w:tc>
                <w:tcPr>
                  <w:tcW w:w="667"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YS5108122530001</w:t>
                  </w:r>
                </w:p>
              </w:tc>
              <w:tc>
                <w:tcPr>
                  <w:tcW w:w="99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朝天区生态保护红线集中区1</w:t>
                  </w:r>
                </w:p>
              </w:tc>
              <w:tc>
                <w:tcPr>
                  <w:tcW w:w="64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自然资源管控分区</w:t>
                  </w:r>
                </w:p>
              </w:tc>
              <w:tc>
                <w:tcPr>
                  <w:tcW w:w="940"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土地资源重点管控区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7</w:t>
                  </w:r>
                </w:p>
              </w:tc>
              <w:tc>
                <w:tcPr>
                  <w:tcW w:w="667"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YS5108123210001</w:t>
                  </w:r>
                </w:p>
              </w:tc>
              <w:tc>
                <w:tcPr>
                  <w:tcW w:w="99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元西村-朝天区-管控单元</w:t>
                  </w:r>
                </w:p>
              </w:tc>
              <w:tc>
                <w:tcPr>
                  <w:tcW w:w="64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水环境管控分区</w:t>
                  </w:r>
                </w:p>
              </w:tc>
              <w:tc>
                <w:tcPr>
                  <w:tcW w:w="940"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8</w:t>
                  </w:r>
                </w:p>
              </w:tc>
              <w:tc>
                <w:tcPr>
                  <w:tcW w:w="667"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ZH51081220004</w:t>
                  </w:r>
                </w:p>
              </w:tc>
              <w:tc>
                <w:tcPr>
                  <w:tcW w:w="99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朝天区要素重点管控单元</w:t>
                  </w:r>
                </w:p>
              </w:tc>
              <w:tc>
                <w:tcPr>
                  <w:tcW w:w="64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环境管控单元</w:t>
                  </w:r>
                </w:p>
              </w:tc>
              <w:tc>
                <w:tcPr>
                  <w:tcW w:w="940"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环境综合管控单元要素重点管控单元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9</w:t>
                  </w:r>
                </w:p>
              </w:tc>
              <w:tc>
                <w:tcPr>
                  <w:tcW w:w="667"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YS5108122550001</w:t>
                  </w:r>
                </w:p>
              </w:tc>
              <w:tc>
                <w:tcPr>
                  <w:tcW w:w="99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朝天区自然资源重点管控区</w:t>
                  </w:r>
                </w:p>
              </w:tc>
              <w:tc>
                <w:tcPr>
                  <w:tcW w:w="64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自然资源管控分区</w:t>
                  </w:r>
                </w:p>
              </w:tc>
              <w:tc>
                <w:tcPr>
                  <w:tcW w:w="940"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自然资源重点管控区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10</w:t>
                  </w:r>
                </w:p>
              </w:tc>
              <w:tc>
                <w:tcPr>
                  <w:tcW w:w="667"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ZH51081220003</w:t>
                  </w:r>
                </w:p>
              </w:tc>
              <w:tc>
                <w:tcPr>
                  <w:tcW w:w="99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仇坝工业园区</w:t>
                  </w:r>
                </w:p>
              </w:tc>
              <w:tc>
                <w:tcPr>
                  <w:tcW w:w="64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环境管控单元</w:t>
                  </w:r>
                </w:p>
              </w:tc>
              <w:tc>
                <w:tcPr>
                  <w:tcW w:w="940"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环境综合管控单元工业重点管控单元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11</w:t>
                  </w:r>
                </w:p>
              </w:tc>
              <w:tc>
                <w:tcPr>
                  <w:tcW w:w="667"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YS5108122210002</w:t>
                  </w:r>
                </w:p>
              </w:tc>
              <w:tc>
                <w:tcPr>
                  <w:tcW w:w="99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元西村-朝天区-仇坝工业园区-管控单元</w:t>
                  </w:r>
                </w:p>
              </w:tc>
              <w:tc>
                <w:tcPr>
                  <w:tcW w:w="64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水环境管控分区</w:t>
                  </w:r>
                </w:p>
              </w:tc>
              <w:tc>
                <w:tcPr>
                  <w:tcW w:w="940" w:type="pct"/>
                  <w:tcBorders>
                    <w:top w:val="single" w:color="auto" w:sz="4" w:space="0"/>
                    <w:bottom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水环境工业污染重点管控区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6" w:type="pct"/>
                  <w:tcBorders>
                    <w:top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12</w:t>
                  </w:r>
                </w:p>
              </w:tc>
              <w:tc>
                <w:tcPr>
                  <w:tcW w:w="667" w:type="pct"/>
                  <w:tcBorders>
                    <w:top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YS5108122310002</w:t>
                  </w:r>
                </w:p>
              </w:tc>
              <w:tc>
                <w:tcPr>
                  <w:tcW w:w="993" w:type="pct"/>
                  <w:tcBorders>
                    <w:top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仇坝工业园区</w:t>
                  </w:r>
                </w:p>
              </w:tc>
              <w:tc>
                <w:tcPr>
                  <w:tcW w:w="649" w:type="pct"/>
                  <w:tcBorders>
                    <w:top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659" w:type="pct"/>
                  <w:tcBorders>
                    <w:top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643" w:type="pct"/>
                  <w:tcBorders>
                    <w:top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大气环境管控分区</w:t>
                  </w:r>
                </w:p>
              </w:tc>
              <w:tc>
                <w:tcPr>
                  <w:tcW w:w="940" w:type="pct"/>
                  <w:tcBorders>
                    <w:top w:val="single" w:color="auto" w:sz="4" w:space="0"/>
                  </w:tcBorders>
                  <w:vAlign w:val="center"/>
                </w:tcPr>
                <w:p>
                  <w:pPr>
                    <w:pStyle w:val="83"/>
                    <w:widowControl/>
                    <w:spacing w:line="240" w:lineRule="auto"/>
                    <w:ind w:firstLine="0" w:firstLineChars="0"/>
                    <w:jc w:val="center"/>
                    <w:rPr>
                      <w:rFonts w:eastAsia="宋体"/>
                      <w:color w:val="auto"/>
                      <w:sz w:val="21"/>
                    </w:rPr>
                  </w:pPr>
                  <w:r>
                    <w:rPr>
                      <w:rFonts w:eastAsia="宋体"/>
                      <w:color w:val="auto"/>
                      <w:sz w:val="21"/>
                    </w:rPr>
                    <w:t>大气环境高排放重点管控区</w:t>
                  </w:r>
                </w:p>
              </w:tc>
            </w:tr>
          </w:tbl>
          <w:p>
            <w:pPr>
              <w:adjustRightInd w:val="0"/>
              <w:snapToGrid w:val="0"/>
              <w:spacing w:line="360" w:lineRule="auto"/>
              <w:ind w:firstLine="480" w:firstLineChars="200"/>
              <w:rPr>
                <w:bCs/>
                <w:color w:val="auto"/>
                <w:sz w:val="24"/>
              </w:rPr>
            </w:pPr>
            <w:r>
              <w:rPr>
                <w:color w:val="auto"/>
                <w:sz w:val="24"/>
              </w:rPr>
              <w:t>本项目与“三线一单”相关要求的符合性分析见下表。</w:t>
            </w:r>
          </w:p>
          <w:p>
            <w:pPr>
              <w:adjustRightInd w:val="0"/>
              <w:snapToGrid w:val="0"/>
              <w:spacing w:line="360" w:lineRule="auto"/>
              <w:ind w:firstLine="480" w:firstLineChars="200"/>
              <w:rPr>
                <w:bCs/>
                <w:color w:val="auto"/>
                <w:sz w:val="24"/>
              </w:rPr>
            </w:pPr>
          </w:p>
          <w:p>
            <w:pPr>
              <w:adjustRightInd w:val="0"/>
              <w:snapToGrid w:val="0"/>
              <w:spacing w:line="360" w:lineRule="auto"/>
              <w:rPr>
                <w:b/>
                <w:bCs/>
                <w:color w:val="auto"/>
                <w:sz w:val="24"/>
              </w:rPr>
            </w:pPr>
          </w:p>
          <w:p>
            <w:pPr>
              <w:pStyle w:val="12"/>
              <w:ind w:firstLine="480"/>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p>
            <w:pPr>
              <w:pStyle w:val="17"/>
              <w:numPr>
                <w:ilvl w:val="0"/>
                <w:numId w:val="0"/>
              </w:numPr>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tc>
      </w:tr>
    </w:tbl>
    <w:p>
      <w:pPr>
        <w:rPr>
          <w:snapToGrid w:val="0"/>
          <w:color w:val="auto"/>
        </w:rPr>
      </w:pPr>
    </w:p>
    <w:p>
      <w:pPr>
        <w:spacing w:line="360" w:lineRule="auto"/>
        <w:outlineLvl w:val="0"/>
        <w:rPr>
          <w:rFonts w:eastAsia="黑体"/>
          <w:color w:val="auto"/>
          <w:sz w:val="30"/>
        </w:rPr>
        <w:sectPr>
          <w:footerReference r:id="rId7" w:type="default"/>
          <w:pgSz w:w="11906" w:h="16838"/>
          <w:pgMar w:top="1701" w:right="1531" w:bottom="1701" w:left="1531" w:header="851" w:footer="1077" w:gutter="0"/>
          <w:pgNumType w:start="1"/>
          <w:cols w:space="720" w:num="1"/>
          <w:docGrid w:linePitch="312" w:charSpace="0"/>
        </w:sectPr>
      </w:pPr>
    </w:p>
    <w:tbl>
      <w:tblPr>
        <w:tblStyle w:val="36"/>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87"/>
        <w:gridCol w:w="127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 w:hRule="atLeast"/>
        </w:trPr>
        <w:tc>
          <w:tcPr>
            <w:tcW w:w="255" w:type="pct"/>
            <w:tcMar>
              <w:top w:w="16" w:type="dxa"/>
              <w:left w:w="16" w:type="dxa"/>
              <w:right w:w="16" w:type="dxa"/>
            </w:tcMar>
            <w:vAlign w:val="center"/>
          </w:tcPr>
          <w:p>
            <w:pPr>
              <w:autoSpaceDE w:val="0"/>
              <w:autoSpaceDN w:val="0"/>
              <w:adjustRightInd w:val="0"/>
              <w:snapToGrid w:val="0"/>
              <w:jc w:val="center"/>
              <w:rPr>
                <w:color w:val="auto"/>
                <w:kern w:val="0"/>
                <w:sz w:val="24"/>
              </w:rPr>
            </w:pPr>
          </w:p>
        </w:tc>
        <w:tc>
          <w:tcPr>
            <w:tcW w:w="4744" w:type="pct"/>
            <w:tcMar>
              <w:top w:w="16" w:type="dxa"/>
              <w:left w:w="16" w:type="dxa"/>
              <w:right w:w="16" w:type="dxa"/>
            </w:tcMar>
            <w:vAlign w:val="center"/>
          </w:tcPr>
          <w:p>
            <w:pPr>
              <w:pStyle w:val="63"/>
              <w:keepNext/>
              <w:numPr>
                <w:ilvl w:val="0"/>
                <w:numId w:val="5"/>
              </w:numPr>
              <w:rPr>
                <w:b/>
                <w:color w:val="auto"/>
                <w:szCs w:val="21"/>
              </w:rPr>
            </w:pPr>
            <w:r>
              <w:rPr>
                <w:b/>
                <w:color w:val="auto"/>
                <w:szCs w:val="21"/>
              </w:rPr>
              <w:t>本项目与“三线一单”相关要求的符合性分析</w:t>
            </w:r>
          </w:p>
          <w:tbl>
            <w:tblPr>
              <w:tblStyle w:val="37"/>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885"/>
              <w:gridCol w:w="8118"/>
              <w:gridCol w:w="1838"/>
              <w:gridCol w:w="808"/>
            </w:tblGrid>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0099" w:type="dxa"/>
                  <w:gridSpan w:val="3"/>
                  <w:tcBorders>
                    <w:top w:val="single" w:color="auto" w:sz="12" w:space="0"/>
                  </w:tcBorders>
                  <w:vAlign w:val="center"/>
                </w:tcPr>
                <w:p>
                  <w:pPr>
                    <w:jc w:val="center"/>
                    <w:rPr>
                      <w:b/>
                      <w:bCs/>
                      <w:color w:val="auto"/>
                      <w:kern w:val="0"/>
                      <w:szCs w:val="21"/>
                    </w:rPr>
                  </w:pPr>
                  <w:r>
                    <w:rPr>
                      <w:b/>
                      <w:bCs/>
                      <w:color w:val="auto"/>
                      <w:kern w:val="0"/>
                      <w:szCs w:val="21"/>
                    </w:rPr>
                    <w:t>“三线一单”的具体要求</w:t>
                  </w:r>
                </w:p>
              </w:tc>
              <w:tc>
                <w:tcPr>
                  <w:tcW w:w="1838" w:type="dxa"/>
                  <w:vMerge w:val="restart"/>
                  <w:tcBorders>
                    <w:top w:val="single" w:color="auto" w:sz="12" w:space="0"/>
                  </w:tcBorders>
                  <w:vAlign w:val="center"/>
                </w:tcPr>
                <w:p>
                  <w:pPr>
                    <w:jc w:val="center"/>
                    <w:rPr>
                      <w:b/>
                      <w:bCs/>
                      <w:color w:val="auto"/>
                      <w:kern w:val="0"/>
                      <w:szCs w:val="21"/>
                    </w:rPr>
                  </w:pPr>
                  <w:r>
                    <w:rPr>
                      <w:b/>
                      <w:bCs/>
                      <w:color w:val="auto"/>
                      <w:kern w:val="0"/>
                      <w:szCs w:val="21"/>
                    </w:rPr>
                    <w:t>项目对应情况介绍</w:t>
                  </w:r>
                </w:p>
              </w:tc>
              <w:tc>
                <w:tcPr>
                  <w:tcW w:w="808" w:type="dxa"/>
                  <w:vMerge w:val="restart"/>
                  <w:tcBorders>
                    <w:top w:val="single" w:color="auto" w:sz="12" w:space="0"/>
                  </w:tcBorders>
                  <w:vAlign w:val="center"/>
                </w:tcPr>
                <w:p>
                  <w:pPr>
                    <w:jc w:val="center"/>
                    <w:rPr>
                      <w:b/>
                      <w:bCs/>
                      <w:color w:val="auto"/>
                      <w:kern w:val="0"/>
                      <w:szCs w:val="21"/>
                    </w:rPr>
                  </w:pPr>
                  <w:r>
                    <w:rPr>
                      <w:b/>
                      <w:bCs/>
                      <w:color w:val="auto"/>
                      <w:kern w:val="0"/>
                      <w:szCs w:val="21"/>
                    </w:rPr>
                    <w:t>符合性</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gridSpan w:val="2"/>
                  <w:vAlign w:val="center"/>
                </w:tcPr>
                <w:p>
                  <w:pPr>
                    <w:jc w:val="center"/>
                    <w:rPr>
                      <w:b/>
                      <w:bCs/>
                      <w:color w:val="auto"/>
                      <w:kern w:val="0"/>
                      <w:szCs w:val="21"/>
                    </w:rPr>
                  </w:pPr>
                  <w:r>
                    <w:rPr>
                      <w:b/>
                      <w:bCs/>
                      <w:color w:val="auto"/>
                      <w:kern w:val="0"/>
                      <w:szCs w:val="21"/>
                    </w:rPr>
                    <w:t>类别</w:t>
                  </w:r>
                </w:p>
              </w:tc>
              <w:tc>
                <w:tcPr>
                  <w:tcW w:w="8119" w:type="dxa"/>
                  <w:vAlign w:val="center"/>
                </w:tcPr>
                <w:p>
                  <w:pPr>
                    <w:jc w:val="center"/>
                    <w:rPr>
                      <w:b/>
                      <w:bCs/>
                      <w:color w:val="auto"/>
                      <w:kern w:val="0"/>
                      <w:szCs w:val="21"/>
                    </w:rPr>
                  </w:pPr>
                  <w:r>
                    <w:rPr>
                      <w:b/>
                      <w:bCs/>
                      <w:color w:val="auto"/>
                      <w:kern w:val="0"/>
                      <w:szCs w:val="21"/>
                    </w:rPr>
                    <w:t>对应管控要求</w:t>
                  </w:r>
                </w:p>
              </w:tc>
              <w:tc>
                <w:tcPr>
                  <w:tcW w:w="1838" w:type="dxa"/>
                  <w:vMerge w:val="continue"/>
                  <w:vAlign w:val="center"/>
                </w:tcPr>
                <w:p>
                  <w:pPr>
                    <w:jc w:val="center"/>
                    <w:rPr>
                      <w:color w:val="auto"/>
                      <w:kern w:val="0"/>
                      <w:szCs w:val="21"/>
                    </w:rPr>
                  </w:pPr>
                </w:p>
              </w:tc>
              <w:tc>
                <w:tcPr>
                  <w:tcW w:w="808" w:type="dxa"/>
                  <w:vMerge w:val="continue"/>
                  <w:vAlign w:val="center"/>
                </w:tcPr>
                <w:p>
                  <w:pPr>
                    <w:jc w:val="center"/>
                    <w:rPr>
                      <w:color w:val="auto"/>
                      <w:kern w:val="0"/>
                      <w:szCs w:val="21"/>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广元市</w:t>
                  </w:r>
                </w:p>
                <w:p>
                  <w:pPr>
                    <w:jc w:val="center"/>
                    <w:rPr>
                      <w:color w:val="auto"/>
                      <w:kern w:val="0"/>
                      <w:szCs w:val="21"/>
                    </w:rPr>
                  </w:pPr>
                  <w:r>
                    <w:rPr>
                      <w:color w:val="auto"/>
                      <w:kern w:val="0"/>
                      <w:szCs w:val="21"/>
                    </w:rPr>
                    <w:t>普适性清单</w:t>
                  </w:r>
                </w:p>
              </w:tc>
              <w:tc>
                <w:tcPr>
                  <w:tcW w:w="885" w:type="dxa"/>
                  <w:vAlign w:val="center"/>
                </w:tcPr>
                <w:p>
                  <w:pPr>
                    <w:jc w:val="center"/>
                    <w:rPr>
                      <w:color w:val="auto"/>
                      <w:kern w:val="0"/>
                      <w:szCs w:val="21"/>
                    </w:rPr>
                  </w:pPr>
                  <w:r>
                    <w:rPr>
                      <w:color w:val="auto"/>
                      <w:kern w:val="0"/>
                      <w:szCs w:val="21"/>
                    </w:rPr>
                    <w:t>空间布局约束</w:t>
                  </w:r>
                </w:p>
              </w:tc>
              <w:tc>
                <w:tcPr>
                  <w:tcW w:w="8119" w:type="dxa"/>
                  <w:vAlign w:val="center"/>
                </w:tcPr>
                <w:p>
                  <w:pPr>
                    <w:pStyle w:val="63"/>
                    <w:jc w:val="left"/>
                    <w:rPr>
                      <w:color w:val="auto"/>
                      <w:szCs w:val="21"/>
                    </w:rPr>
                  </w:pPr>
                  <w:r>
                    <w:rPr>
                      <w:color w:val="auto"/>
                      <w:szCs w:val="21"/>
                    </w:rPr>
                    <w:t>1、禁止开发建设活动的要求</w:t>
                  </w:r>
                </w:p>
                <w:p>
                  <w:pPr>
                    <w:pStyle w:val="63"/>
                    <w:jc w:val="left"/>
                    <w:rPr>
                      <w:color w:val="auto"/>
                      <w:szCs w:val="21"/>
                    </w:rPr>
                  </w:pPr>
                  <w:r>
                    <w:rPr>
                      <w:color w:val="auto"/>
                      <w:szCs w:val="21"/>
                    </w:rPr>
                    <w:t>以下要求，如相关法律、法规、条例有更新，从其最新规定。</w:t>
                  </w:r>
                </w:p>
                <w:p>
                  <w:pPr>
                    <w:pStyle w:val="63"/>
                    <w:jc w:val="left"/>
                    <w:rPr>
                      <w:color w:val="auto"/>
                      <w:szCs w:val="21"/>
                    </w:rPr>
                  </w:pPr>
                  <w:r>
                    <w:rPr>
                      <w:color w:val="auto"/>
                      <w:szCs w:val="21"/>
                    </w:rPr>
                    <w:t>①生态保护红线：生态保护红线内严格禁止其他开发性、生产性建设活动，原则上自然保护地核心保护区内禁止人为活动，其他区域在符合现行法律法规前提下，除国家重大战略项目外，仅允许对生态功能不造成破坏的有限人为活动。涉及相关法定保护地的，按照相应法律法规进行管控。(依据:《生态保护红线划定指南》《“生态保护红线、环境质量底线、资源利用上线和环境准入负面清单"编制技术指南》《关于生态环境领域进一步深化“放管服”改革，推动经济高质量发展的指导意见》《关于发布长江经济带发展负面清单指南(试行)的通知》《关于在国土空间规划中统筹划定落实三条控制线的指导意见》)</w:t>
                  </w:r>
                </w:p>
                <w:p>
                  <w:pPr>
                    <w:pStyle w:val="63"/>
                    <w:jc w:val="left"/>
                    <w:rPr>
                      <w:color w:val="auto"/>
                      <w:szCs w:val="21"/>
                    </w:rPr>
                  </w:pPr>
                  <w:r>
                    <w:rPr>
                      <w:color w:val="auto"/>
                      <w:szCs w:val="21"/>
                    </w:rPr>
                    <w:t>②大熊猫国家公园：大熊猫国家公园经评估后划入生态保护红线进行管理，实行核心保护区和一般控制区两区管控，严格禁止开发性、生产性建设活动。已有道路两侧以及大型设施的控制线按一般控制区管理。涉及现有各类自然保护地的区域，其管控措施按照现行法律法规和《大熊猫国家公园总体规划(试行)》中更严格的保护标准执行，确保保护强度不降低。核心保护区除满足国家特殊战略需要的有关活动外，原则上禁止人为活动。一般控制区除满足国家特殊战略需要的有关活动外，原则上禁止开发性、生产性建设活动。（《大熊猫国家公园总体规划（试行）》）</w:t>
                  </w:r>
                </w:p>
                <w:p>
                  <w:pPr>
                    <w:pStyle w:val="63"/>
                    <w:jc w:val="left"/>
                    <w:rPr>
                      <w:color w:val="auto"/>
                      <w:szCs w:val="21"/>
                    </w:rPr>
                  </w:pPr>
                  <w:r>
                    <w:rPr>
                      <w:color w:val="auto"/>
                      <w:szCs w:val="21"/>
                    </w:rPr>
                    <w:t>③自然保护区：禁止任何人进入自然保护区的核心区。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禁止在自然保护区的缓冲区开展旅游和生产经营活动。因教学科学研的目的，需要进入自然保护区的缓冲区从事非破坏性的科学研究、教学实习和标本采集活动的，应当事先向自然保护区管理机构提交申请和活动计划，经自然保护区管理机构批准。禁止在自然保护区内进行砍伐、放牧、狩猎、捕捞、采药、开垦、烧荒、开矿、采石、挖沙等活动（法律、行政法规另有规定除外）。在自然保护区的核心区和缓冲区内，禁止建设任何生产设施。在自然保护区的实验区内，不得建设污染环境、破坏资源或者景观的生产设施；建设其他项目，其污染物排放不得超过国家和地方规定的污染物排放标准。自然保护区的内部未分区的，依照上述有关核心区和缓冲区的规定管理。（《中华人民共和国自然保护区条例》《四川省自然保护区管理条例》）禁止在自然保护区核心区、缓冲区的岸线和河段范围内投资建设旅游和生产经营项目。（《四川省长江经济带发展负面清单实施细则（试行）》）</w:t>
                  </w:r>
                </w:p>
                <w:p>
                  <w:pPr>
                    <w:pStyle w:val="63"/>
                    <w:jc w:val="left"/>
                    <w:rPr>
                      <w:color w:val="auto"/>
                      <w:szCs w:val="21"/>
                    </w:rPr>
                  </w:pPr>
                  <w:r>
                    <w:rPr>
                      <w:color w:val="auto"/>
                      <w:szCs w:val="21"/>
                    </w:rPr>
                    <w:t>④风景名胜区：禁止开山、采石、开矿、开荒、修坟立碑等破坏景观、植被和地形地貌的活动；禁止违反风景名胜区规划，在风景名胜区内设立各类开发区和在核心景区内建设宾馆、招待所、培训中心、疗养院以及与风景名胜资源保护无关的其他建筑物；已经建设的，应当按照风景名胜区规划，逐步迁出；禁止风景名胜区内修建储存或者输送爆炸性、易燃性、放射性、毒害性、腐蚀性物品等危险品的设施，或者其他破坏景观、污染环境、妨碍游览和危害风景名胜区生态、公共安全的建筑物和构筑物。在重要景点上，除必需的保护设施外，不得兴建其他工程设施。（《风景名胜区条例》《四川省风景名胜区条例》《四川省风景名胜区建设管理办法》）</w:t>
                  </w:r>
                </w:p>
                <w:p>
                  <w:pPr>
                    <w:pStyle w:val="63"/>
                    <w:jc w:val="left"/>
                    <w:rPr>
                      <w:color w:val="auto"/>
                      <w:szCs w:val="21"/>
                    </w:rPr>
                  </w:pPr>
                  <w:r>
                    <w:rPr>
                      <w:color w:val="auto"/>
                      <w:szCs w:val="21"/>
                    </w:rPr>
                    <w:t>⑤饮用水水源保护区：禁止在饮用水水源保护区内，禁止设置排污口。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禁止在饮用水水源二级保护区内新建、改建、扩建排放污染物的建设项目；已建成的排放污染物的建设项目，由县级以上人民政府责令拆除或者关闭。禁止在饮用水水源准保护区内新建、扩建对水体污染严重的建设项目；改建建设项目，不得增加排污量。（《水污染防治法》）地表水饮用水水源一级保护区内禁止新建、改建、扩建与供水设施和保护水源无关的建设项目；已建成的与供水设施和保护水源无关的建设项目，由县级以上地方人民政府责令拆除或者关闭；二级保护区内，禁止新建、改建、扩建排放污染物的建设项目；已建成的排放污染物的建设项目，由县级以上地方人民政府责令拆除或者关闭；准保护区内，禁止新建、扩建对水体污染严重的建设项目；改建建设项目，不得增加排污量。地下水饮用水水源一级保护区内，禁止建设与取水设施无关的建筑物或者构筑物；禁止设置排污口。二级保护区内禁止新建、改建、扩建排放污染物的建设项目；准保护区内禁止设置化工原料、矿物油类及有毒有害矿产品的贮存场所，以及生活垃圾、工业固体废物和危险废物的堆放场所和转运站。（《四川省饮用水源保护管理条例》（2011年修订））</w:t>
                  </w:r>
                </w:p>
                <w:p>
                  <w:pPr>
                    <w:pStyle w:val="63"/>
                    <w:jc w:val="left"/>
                    <w:rPr>
                      <w:color w:val="auto"/>
                      <w:szCs w:val="21"/>
                    </w:rPr>
                  </w:pPr>
                  <w:r>
                    <w:rPr>
                      <w:color w:val="auto"/>
                      <w:szCs w:val="21"/>
                    </w:rPr>
                    <w:t>⑥森林公园：禁止擅自填堵森林公园的自然水系；禁止在森林公园内超标准排放污水，乱倒乱扔生活垃圾和其他污染物。（依据：《国家级森林公园管理办法》）禁止擅自占用森林公园内的林地。确需征用、占用的，用地单位应当提出申请，经县级以上林业行政主管部门审核同意后，按照土地管理法律、法规的规定办理审批手续。（依据：《四川省森林公园管理条例》《森林公园管理办法》）禁止在森林公园毁林开垦和毁林采石、采砂、采土以及其他毁林行为。采伐森林公园的林木，必须遵守有关林业法规、经营方案和技术规程的规定。在珍贵景物、重要景点和核心景区，除必要的保护和附属设施外，禁止建设宾馆、招待所、疗养院和其他工程设施。（《森林公园管理办法》《国家级森林公园管理办法》）</w:t>
                  </w:r>
                </w:p>
                <w:p>
                  <w:pPr>
                    <w:pStyle w:val="63"/>
                    <w:jc w:val="left"/>
                    <w:rPr>
                      <w:color w:val="auto"/>
                      <w:szCs w:val="21"/>
                    </w:rPr>
                  </w:pPr>
                  <w:r>
                    <w:rPr>
                      <w:color w:val="auto"/>
                      <w:szCs w:val="21"/>
                    </w:rPr>
                    <w:t>⑦湿地公园：禁止开（围）垦、填埋或者排干湿地。禁止截断湿地水源。禁止挖沙、采矿、挖塘、采集泥炭、揭取草皮。禁止计件制倾倒有毒有害物质、废弃物、垃圾。禁止擅自排放污水。禁止破坏野生动物栖息地和迁徙通道、鱼类洄游通道，滥采滥捕野生动植物。禁止擅自放牧、捕捞、取土、取水、放生。禁止其他破坏湿地及其生态功能的活动。（依据：《湿地保护管理规定》《国家湿地公园管理办法》《四川省湿地保护条例》）禁止从事房地产、度假村、高尔夫球场、风力发电、光伏发电等任何不符合主体功能定位的建设项目和开发活动。（依据：《国家湿地公园管理办法》）禁止擅自砍伐林木、采集野生植物、猎捕野生动物、捡拾鸟卵；禁止采用灭绝性方式捕捞鱼类及其他水生生物。</w:t>
                  </w:r>
                </w:p>
                <w:p>
                  <w:pPr>
                    <w:pStyle w:val="63"/>
                    <w:jc w:val="left"/>
                    <w:rPr>
                      <w:color w:val="auto"/>
                      <w:szCs w:val="21"/>
                    </w:rPr>
                  </w:pPr>
                  <w:r>
                    <w:rPr>
                      <w:color w:val="auto"/>
                      <w:szCs w:val="21"/>
                    </w:rPr>
                    <w:t>⑧地质公园：禁止在保护区内及可能对地质遗迹造成影响的一定范围内进行采石、取土、开矿、放牧、砍伐以及其它对保护对象有损害的活动。未经管理机构批准，禁止在保护区范围内采集标本和化石。禁止在保护区内修建与地质遗迹保护无关的厂房或其他建筑设施。（《地质遗迹保护管理规定》）。</w:t>
                  </w:r>
                </w:p>
                <w:p>
                  <w:pPr>
                    <w:pStyle w:val="63"/>
                    <w:jc w:val="left"/>
                    <w:rPr>
                      <w:color w:val="auto"/>
                      <w:szCs w:val="21"/>
                    </w:rPr>
                  </w:pPr>
                  <w:r>
                    <w:rPr>
                      <w:color w:val="auto"/>
                      <w:szCs w:val="21"/>
                    </w:rPr>
                    <w:t>水产种质资源保护区：禁止在水产种质资源保护区内从事围湖造田、围海造地或围填海工程。禁止在水产种质资源保护区内新建排污口。在水产种质资源保护区附近新建、改建、扩建排污口，应当保证保护区水体不受污染。（《水产种质资源保护区管理暂行办法》）禁止在长江流域开放水域养殖、投放外来物种或者其他非本地物种种质资源。禁止在长江流域水上运输剧毒化学品和国家规定禁止通过内河运输的其他危险化学品。（《中华人民共和国长江保护法》）</w:t>
                  </w:r>
                </w:p>
                <w:p>
                  <w:pPr>
                    <w:pStyle w:val="63"/>
                    <w:jc w:val="left"/>
                    <w:rPr>
                      <w:color w:val="auto"/>
                      <w:szCs w:val="24"/>
                    </w:rPr>
                  </w:pPr>
                  <w:r>
                    <w:rPr>
                      <w:color w:val="auto"/>
                      <w:szCs w:val="21"/>
                    </w:rPr>
                    <w:t>⑨基本农田：永久基本农田，实行严格保护，确保其面积不减少、土壤环境质量不下降，除法律规定的重点建设项目选址确实无法避让外，其他任何建设不得占用。（《土壤污染防治行动计划》）在永久基本农田集中区域，不得新建可能造成土壤污染的建设项目；已经建成的，应当限期关闭拆除。（《中华人民共和国土壤污染防治法》）禁止占用基本农田发展林果业和挖塘养鱼。（《中华人民共和国土地管理法》）基本农田保护区经依法划定后，任何单位和个人不得改变或者占用。禁止任何单位和个</w:t>
                  </w:r>
                  <w:r>
                    <w:rPr>
                      <w:color w:val="auto"/>
                      <w:szCs w:val="24"/>
                    </w:rPr>
                    <w:t>人在基本农田保护区内建窑、建房、建坟、挖砂、采石、采矿、取土、堆放固体废弃物或者进行其他破坏基本农田的活动。《基本农田保护条例》从严管控非农建设占用永久基本农田。永久基本农田一经划定，任何单位和个人不得擅自占用或者擅自改变用途。（《国土资源部关于全面实行永久基本农田特殊保护的通知》）</w:t>
                  </w:r>
                </w:p>
                <w:p>
                  <w:pPr>
                    <w:jc w:val="left"/>
                    <w:rPr>
                      <w:color w:val="auto"/>
                    </w:rPr>
                  </w:pPr>
                  <w:r>
                    <w:rPr>
                      <w:color w:val="auto"/>
                    </w:rPr>
                    <w:t>⑩优先保护岸线：禁止在长江干流岸线三公里范围内和重要支流岸线一公里范围内新建、改建、扩建尾矿库；以提升安全、生态环境保护水平为目的的改建除外。禁止在长江流域禁止采砂区和禁止采砂期从事采砂活动。（《中华人民共和国长江保护法》）禁止在自然保护区核心区、缓冲区的岸线和河段范围内投资建设旅游和生产经营项目。（《四川省长江经济带发展负面清单实施细则（试行）》）禁止在水产种质资源保护区的岸线和河段范围内新建排污口。禁止在水产种质资源保护区岸线和河段范围内围湖造田、围湖造地、挖沙采石。（《四川省长江经济带发展负面清单实施细则（试行）》）禁止违反风景名胜区规划，在风景名胜区内设立各类开发区；禁止在风景名胜区核心景区的岸线和河段范围内建设宾馆、招待所、培训中心、疗养院以及与风景名胜资源保护无关的其他建筑物。（《四川省长江经济带发展负面清单实施细则（试行）》）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以及其他破坏湿地及其生态功能的活动。（《四川省长江经济带发展负面清单实施细则（试行）》）</w:t>
                  </w:r>
                </w:p>
                <w:p>
                  <w:pPr>
                    <w:jc w:val="left"/>
                    <w:rPr>
                      <w:color w:val="auto"/>
                    </w:rPr>
                  </w:pPr>
                  <w:r>
                    <w:rPr>
                      <w:rFonts w:eastAsia="CambriaMath"/>
                      <w:color w:val="auto"/>
                    </w:rPr>
                    <w:t>⑪</w:t>
                  </w:r>
                  <w:r>
                    <w:rPr>
                      <w:color w:val="auto"/>
                    </w:rPr>
                    <w:t>水土流失敏感区：禁止在长江流域水土流失严重、生态脆弱的区域开展可能造成水土流失的生产建设活动。确因国家发展战略和国计民生需要建设的，应当经科学论证，并依法办理审批手续。禁止在二十五度以上陡坡地开垦种植农作物。禁止过度放牧。限制土地资源高消耗产业发展。禁止在崩塌、滑坡危险区和泥石流易发区从事取土、挖砂、采石等可能造成水土流失的活动。（《中华人民共和国长江保护法》、《中华人民共和国水土保持法》、《四川省</w:t>
                  </w:r>
                  <w:r>
                    <w:rPr>
                      <w:rFonts w:eastAsia="Times New Roman"/>
                      <w:color w:val="auto"/>
                    </w:rPr>
                    <w:t>&lt;</w:t>
                  </w:r>
                  <w:r>
                    <w:rPr>
                      <w:color w:val="auto"/>
                    </w:rPr>
                    <w:t>中华人民共和国水土保持法</w:t>
                  </w:r>
                  <w:r>
                    <w:rPr>
                      <w:rFonts w:eastAsia="Times New Roman"/>
                      <w:color w:val="auto"/>
                    </w:rPr>
                    <w:t>&gt;</w:t>
                  </w:r>
                  <w:r>
                    <w:rPr>
                      <w:color w:val="auto"/>
                    </w:rPr>
                    <w:t>实施办法》）</w:t>
                  </w:r>
                </w:p>
                <w:p>
                  <w:pPr>
                    <w:jc w:val="left"/>
                    <w:rPr>
                      <w:color w:val="auto"/>
                    </w:rPr>
                  </w:pPr>
                  <w:r>
                    <w:rPr>
                      <w:rFonts w:eastAsia="CambriaMath"/>
                      <w:color w:val="auto"/>
                    </w:rPr>
                    <w:t>⑫</w:t>
                  </w:r>
                  <w:r>
                    <w:rPr>
                      <w:color w:val="auto"/>
                    </w:rPr>
                    <w:t>水源涵养重要区：禁止无序采矿、毁林开荒等损害或不利于维护水源涵养功能的人类活动，禁止新建高水资源消耗产业，禁止新建印染、制革、制浆造纸、石化、化工、医药、金属冶炼等水污染型工业项目。</w:t>
                  </w:r>
                </w:p>
                <w:p>
                  <w:pPr>
                    <w:jc w:val="left"/>
                    <w:rPr>
                      <w:color w:val="auto"/>
                    </w:rPr>
                  </w:pPr>
                  <w:r>
                    <w:rPr>
                      <w:rFonts w:eastAsia="CambriaMath"/>
                      <w:color w:val="auto"/>
                    </w:rPr>
                    <w:t>⑬</w:t>
                  </w:r>
                  <w:r>
                    <w:rPr>
                      <w:color w:val="auto"/>
                    </w:rPr>
                    <w:t>生物多样性维护重要区：维护生物多样性，禁止对野生动植物进行滥捕、乱采、乱猎。加强对外来物种入侵的控制，禁止在生物多样性保护功能区引进外来有害物种。禁止各种损害栖息地的经济社会活动和生产方式，如无序采矿、毁林开荒、湿地和草地开垦等。防止生态建设导致栖息环境的改变。（《全国生态功能区划》、《四川省主体功能区规划》）禁止生物多样性维护生态功能区的大规模水电开发和林纸一体化产业发展。（《关于贯彻实施国家主体功能区环境政策的若干意见》）禁止发展高耗能、高排放、高污染产业，禁止有损自然生态系统的侵占水面、湿地、林地的农业开发活动。</w:t>
                  </w:r>
                </w:p>
                <w:p>
                  <w:pPr>
                    <w:jc w:val="left"/>
                    <w:rPr>
                      <w:color w:val="auto"/>
                    </w:rPr>
                  </w:pPr>
                  <w:r>
                    <w:rPr>
                      <w:rFonts w:eastAsia="CambriaMath"/>
                      <w:color w:val="auto"/>
                    </w:rPr>
                    <w:t>⑭</w:t>
                  </w:r>
                  <w:r>
                    <w:rPr>
                      <w:color w:val="auto"/>
                    </w:rPr>
                    <w:t>水土保持功能重要区：禁止全坡面开垦、顺坡开垦耕种等开发生产活动，禁止在二十五度以上陡坡地开垦种植农作物；禁止新建土地资源高消耗产业；禁止在崩塌、滑坡危险区和泥石流易发区从事取土、挖砂、采石、开采零星矿产资源等可能造成水土流失的活动。</w:t>
                  </w:r>
                </w:p>
                <w:p>
                  <w:pPr>
                    <w:jc w:val="left"/>
                    <w:rPr>
                      <w:color w:val="auto"/>
                    </w:rPr>
                  </w:pPr>
                  <w:r>
                    <w:rPr>
                      <w:color w:val="auto"/>
                    </w:rPr>
                    <w:t>⑮禁止在长江干支流岸线一公里范围内新建、扩建化工园区和化工项目。禁止在长江干流岸线三公里范围内和重要支流岸线一公里范围内新建、改建、扩建尾矿库；但是以提升安全、生态环境保护水平为目的的改建除外。</w:t>
                  </w:r>
                </w:p>
                <w:p>
                  <w:pPr>
                    <w:jc w:val="left"/>
                    <w:rPr>
                      <w:color w:val="auto"/>
                    </w:rPr>
                  </w:pPr>
                  <w:r>
                    <w:rPr>
                      <w:color w:val="auto"/>
                    </w:rPr>
                    <w:t>禁止在长江流域开放水域养殖、投放外来物种或者其他非本地物种种质资源。禁止在长江流域禁止采砂区和禁止采砂期从事采砂活动。（《中华人民共和国长江保护法》）</w:t>
                  </w:r>
                </w:p>
                <w:p>
                  <w:pPr>
                    <w:jc w:val="left"/>
                    <w:rPr>
                      <w:color w:val="auto"/>
                    </w:rPr>
                  </w:pPr>
                  <w:r>
                    <w:rPr>
                      <w:color w:val="auto"/>
                    </w:rPr>
                    <w:t>禁止在合规园区外新建、扩建钢铁、石化、化工、焦化、建材、有色等高污染项目。（《四川省长江经济带发展负面清单实施细则（试行）》）</w:t>
                  </w:r>
                </w:p>
                <w:p>
                  <w:pPr>
                    <w:jc w:val="left"/>
                    <w:rPr>
                      <w:color w:val="auto"/>
                    </w:rPr>
                  </w:pPr>
                  <w:r>
                    <w:rPr>
                      <w:color w:val="auto"/>
                    </w:rPr>
                    <w:t>⑯对全部基本农田按禁止开发的要求进行管理，禁止占用基本农田发展林果业和挖塘养鱼。禁止任何单位和个人在基本农田保护区内建窑、建房、建坟、挖砂、采石、采矿、取土、堆放固体废弃物或者进行其他破坏基本农田的活动。（《中华人民共和国土地管理法》、《基本农田保护条例》、《全国主体功能区规划》）</w:t>
                  </w:r>
                </w:p>
                <w:p>
                  <w:pPr>
                    <w:jc w:val="left"/>
                    <w:rPr>
                      <w:color w:val="auto"/>
                    </w:rPr>
                  </w:pPr>
                  <w:r>
                    <w:rPr>
                      <w:color w:val="auto"/>
                    </w:rPr>
                    <w:t>永久基本农田，实行严格保护，确保其面积不减少、土壤环境质量不下降，除法律规定的重点建设项目选址确实无法避让外，其他任何建设不得占用。在永久基本农田集中区域，不得新建可能造成土壤污染的建设项目；已经建成的，应当限期关闭拆除。（《土壤污染防治行动计划》、《中华人民共和国土壤污染防治法》）</w:t>
                  </w:r>
                </w:p>
                <w:p>
                  <w:pPr>
                    <w:jc w:val="left"/>
                    <w:rPr>
                      <w:color w:val="auto"/>
                    </w:rPr>
                  </w:pPr>
                  <w:r>
                    <w:rPr>
                      <w:color w:val="auto"/>
                    </w:rPr>
                    <w:t>⑰全面停止小型水电项目开发，已建成的中小型水电站不再扩容。（《四川省人民政府关于进一步加强和规范水电建设管理的意见》）。</w:t>
                  </w:r>
                </w:p>
                <w:p>
                  <w:pPr>
                    <w:jc w:val="left"/>
                    <w:rPr>
                      <w:color w:val="auto"/>
                    </w:rPr>
                  </w:pPr>
                  <w:r>
                    <w:rPr>
                      <w:color w:val="auto"/>
                    </w:rPr>
                    <w:t>⑱禁止在禁采区内开采矿产；禁止土法采、选、冶严重污染环境的矿产资源。</w:t>
                  </w:r>
                </w:p>
                <w:p>
                  <w:pPr>
                    <w:jc w:val="left"/>
                    <w:rPr>
                      <w:color w:val="auto"/>
                    </w:rPr>
                  </w:pPr>
                  <w:r>
                    <w:rPr>
                      <w:color w:val="auto"/>
                    </w:rPr>
                    <w:t>畜禽养殖严格按照广元市各区县畜禽养殖区域划定方案执行，依法关闭或搬迁禁养区内的畜禽养殖场（小区）和养殖专业户。</w:t>
                  </w:r>
                </w:p>
                <w:p>
                  <w:pPr>
                    <w:jc w:val="left"/>
                    <w:rPr>
                      <w:color w:val="auto"/>
                    </w:rPr>
                  </w:pPr>
                </w:p>
                <w:p>
                  <w:pPr>
                    <w:jc w:val="left"/>
                    <w:rPr>
                      <w:color w:val="auto"/>
                    </w:rPr>
                  </w:pPr>
                  <w:r>
                    <w:rPr>
                      <w:color w:val="auto"/>
                    </w:rPr>
                    <w:t>2、限制开发建设活动的要求</w:t>
                  </w:r>
                </w:p>
                <w:p>
                  <w:pPr>
                    <w:jc w:val="left"/>
                    <w:rPr>
                      <w:color w:val="auto"/>
                    </w:rPr>
                  </w:pPr>
                  <w:r>
                    <w:rPr>
                      <w:color w:val="auto"/>
                    </w:rPr>
                    <w:t>以下要求，如相关法律、法规、条例有更新，从其最新规定。</w:t>
                  </w:r>
                </w:p>
                <w:p>
                  <w:pPr>
                    <w:jc w:val="left"/>
                    <w:rPr>
                      <w:color w:val="auto"/>
                    </w:rPr>
                  </w:pPr>
                  <w:r>
                    <w:rPr>
                      <w:color w:val="auto"/>
                    </w:rPr>
                    <w:t>①生态保护红线：严格限制在长江流域生态保护红线、自然保护地、水生生物重要栖息地水域实施航道整治工程；确需整治的，应当经科学论证，并依法办理相关手续。（《中华人民共和国长江保护法》）涉及无法避让的重大基础设施应采取无害化穿越方式。（《生态保护红线划定指南》《“生态保护红线、环境质量底线、资源利用上线和环境准入负面清单”编制技术指南》）</w:t>
                  </w:r>
                </w:p>
                <w:p>
                  <w:pPr>
                    <w:jc w:val="left"/>
                    <w:rPr>
                      <w:color w:val="auto"/>
                    </w:rPr>
                  </w:pPr>
                  <w:r>
                    <w:rPr>
                      <w:color w:val="auto"/>
                    </w:rPr>
                    <w:t>②自然保护区：严格限制在长江流域生态保护红线、自然保护地、水生生物重要栖息地水域实施航道整治工程；确需整治的，应当经科学论证，并依法办理相关手续。（《中华人民共和国长江保护法》）在自然保护区的实验区内开展参观、旅游活动的，由自然保护区管理机构编制方案，方案应当符合自然保护区管理目标。严禁开设与自然保护区保护方向不一致的参观、旅游项目。（《中华人民共和国自然保护区条例》《四川省自然保护区管理条例》）</w:t>
                  </w:r>
                </w:p>
                <w:p>
                  <w:pPr>
                    <w:jc w:val="left"/>
                    <w:rPr>
                      <w:color w:val="auto"/>
                    </w:rPr>
                  </w:pPr>
                  <w:r>
                    <w:rPr>
                      <w:color w:val="auto"/>
                    </w:rPr>
                    <w:t>③森林公园：严格控制建设项目使用国家级森林公园林地，但是因保护森林及其他风景资源、建设森林防火设施和林业生态文化示范基地、保障游客安全等直接为林业生产服务的工程设施除外；在森林公园内从事经营活动，应经森林公园管理机构同意，并依法取得经营证照，在指定地点经营；（《森林公园管理办法》《国家级森林公园管理办法》）</w:t>
                  </w:r>
                </w:p>
                <w:p>
                  <w:pPr>
                    <w:jc w:val="left"/>
                    <w:rPr>
                      <w:color w:val="auto"/>
                    </w:rPr>
                  </w:pPr>
                  <w:r>
                    <w:rPr>
                      <w:color w:val="auto"/>
                    </w:rPr>
                    <w:t>④水产种质资源保护区：严格限制在长江流域生态保护红线、自然保护地、水生生物重要栖息地水域实施航道整治工程；确需整治的，应当经科学论证，并依法办理相关手续。（《中华人民共和国长江保护法》）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水产种质资源保护区管理暂行办法》）</w:t>
                  </w:r>
                </w:p>
                <w:p>
                  <w:pPr>
                    <w:jc w:val="left"/>
                    <w:rPr>
                      <w:color w:val="auto"/>
                    </w:rPr>
                  </w:pPr>
                  <w:r>
                    <w:rPr>
                      <w:color w:val="auto"/>
                    </w:rPr>
                    <w:t>⑤基本农田：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四川省长江经济带发展负面清单实施细则（试行）》）</w:t>
                  </w:r>
                </w:p>
                <w:p>
                  <w:pPr>
                    <w:jc w:val="left"/>
                    <w:rPr>
                      <w:color w:val="auto"/>
                    </w:rPr>
                  </w:pPr>
                  <w:r>
                    <w:rPr>
                      <w:color w:val="auto"/>
                    </w:rPr>
                    <w:t>⑥优先保护岸线：长江流域河道采砂应当依法取得国务院水行政主管部门有关流域管理机构或者县级以上地方人民政府水行政主管部门的许可。严格控制采砂区域、采砂总量和采砂区域内的采砂船舶数量。（《中华人民共和国长江保护法》）</w:t>
                  </w:r>
                </w:p>
                <w:p>
                  <w:pPr>
                    <w:jc w:val="left"/>
                    <w:rPr>
                      <w:color w:val="auto"/>
                    </w:rPr>
                  </w:pPr>
                  <w:r>
                    <w:rPr>
                      <w:color w:val="auto"/>
                    </w:rPr>
                    <w:t>水源涵养重要区：坚持自然恢复为主，严格限制大规模人工造林。严格控制载畜量，实行以草定畜。（《全国生态功能区划》）</w:t>
                  </w:r>
                </w:p>
                <w:p>
                  <w:pPr>
                    <w:jc w:val="left"/>
                    <w:rPr>
                      <w:color w:val="auto"/>
                    </w:rPr>
                  </w:pPr>
                  <w:r>
                    <w:rPr>
                      <w:color w:val="auto"/>
                    </w:rPr>
                    <w:t>⑦生物多样性维护重要区：在不损害生态系统功能的前提下，可因地制宜地适度发展旅游、农林产品生产和加工、观光休闲农业等产业。</w:t>
                  </w:r>
                </w:p>
                <w:p>
                  <w:pPr>
                    <w:jc w:val="left"/>
                    <w:rPr>
                      <w:color w:val="auto"/>
                    </w:rPr>
                  </w:pPr>
                  <w:r>
                    <w:rPr>
                      <w:color w:val="auto"/>
                    </w:rPr>
                    <w:t>⑧水土保持功能重要区：限制土地资源高消耗产业在水土保持生态功能区发展。（《关于贯彻实施国家主体功能区环境政策的若干意见》）</w:t>
                  </w:r>
                </w:p>
                <w:p>
                  <w:pPr>
                    <w:jc w:val="left"/>
                    <w:rPr>
                      <w:color w:val="auto"/>
                    </w:rPr>
                  </w:pPr>
                  <w:r>
                    <w:rPr>
                      <w:color w:val="auto"/>
                    </w:rPr>
                    <w:t>⑨现有化工、建材、有色等工业企业，原则上限制发展，污染物排放只降不增，允许以提升安全、生态环境保护水平为目的的改建，引导企业结合产业升级等适时搬迁入园。</w:t>
                  </w:r>
                </w:p>
                <w:p>
                  <w:pPr>
                    <w:jc w:val="left"/>
                    <w:rPr>
                      <w:color w:val="auto"/>
                    </w:rPr>
                  </w:pPr>
                  <w:r>
                    <w:rPr>
                      <w:color w:val="auto"/>
                    </w:rPr>
                    <w:t>单元内若新布局工业园区，应符合广元市国土空间规划，并结合区域环境特点、三线成果、园区产业类别，充分论证选址的环境合理性；</w:t>
                  </w:r>
                </w:p>
                <w:p>
                  <w:pPr>
                    <w:jc w:val="left"/>
                    <w:rPr>
                      <w:color w:val="auto"/>
                    </w:rPr>
                  </w:pPr>
                  <w:r>
                    <w:rPr>
                      <w:color w:val="auto"/>
                    </w:rPr>
                    <w:t>⑩大气环境布局敏感区应严格限制布设以钢铁、建材、石化、化工、有色等高污染行业为主导产业的园区，大气环境弱扩散区谨慎布局垃圾发电、危废焚烧等以大气污染为主的企业；位于不达标区域的大气环境布局敏感和弱扩散区严格限制新建、扩建涉气三类工业项目。</w:t>
                  </w:r>
                </w:p>
                <w:p>
                  <w:pPr>
                    <w:jc w:val="left"/>
                    <w:rPr>
                      <w:color w:val="auto"/>
                    </w:rPr>
                  </w:pPr>
                  <w:r>
                    <w:rPr>
                      <w:color w:val="auto"/>
                    </w:rPr>
                    <w:t>⑪水环境城镇生活污染重点管控区应严格限制布设以电力、钢铁、制浆造纸、石化、化工、印染、化纤等高耗水行业为主导产业的园区；新建屠宰、用排水量大的农副产品加工等以水污染为主的企业，严格实行水污染物倍量替代；控制畜禽养殖规模，全面治理畜禽养殖污染。</w:t>
                  </w:r>
                </w:p>
                <w:p>
                  <w:pPr>
                    <w:jc w:val="left"/>
                    <w:rPr>
                      <w:color w:val="auto"/>
                    </w:rPr>
                  </w:pPr>
                  <w:r>
                    <w:rPr>
                      <w:color w:val="auto"/>
                    </w:rPr>
                    <w:t>⑫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四川省长江经济带发展负面清单实施细则（试行）》）</w:t>
                  </w:r>
                </w:p>
                <w:p>
                  <w:pPr>
                    <w:jc w:val="left"/>
                    <w:rPr>
                      <w:color w:val="auto"/>
                    </w:rPr>
                  </w:pPr>
                  <w:r>
                    <w:rPr>
                      <w:color w:val="auto"/>
                    </w:rPr>
                    <w:t>⑬坚持最严格的耕地保护制度，对全部耕地按限制开发的要求进行管理。严格限制农用地转为建设用地，控制建设用地总量，对耕地实行特殊保护。（《中华人民共和国土地管理法(2004修正)》）。新建大中型水电工程，应当经科学论证，并报国务院或者国务院授权的部门批准。除与生态环境保护相协调的且是国务院及其相关部门、省级人民政府认可的脱贫攻坚项目外，严控新建商业开发的小水电项目。（《中华人民共和国长江保护法》、《关于开展长江经济带小水电清理整改工作的意见》）</w:t>
                  </w:r>
                </w:p>
                <w:p>
                  <w:pPr>
                    <w:jc w:val="left"/>
                    <w:rPr>
                      <w:color w:val="auto"/>
                    </w:rPr>
                  </w:pPr>
                  <w:r>
                    <w:rPr>
                      <w:color w:val="auto"/>
                    </w:rPr>
                    <w:t>⑭长江流域河道采砂应当依法取得国务院水行政主管部门有关流域管理机构或者县级以上地方人民政府水行政主管部门的许可。严格控制采砂区域、采砂总量和采砂区域内的采砂船舶数量。（《中华人民共和国长江保护法》）</w:t>
                  </w:r>
                </w:p>
                <w:p>
                  <w:pPr>
                    <w:jc w:val="left"/>
                    <w:rPr>
                      <w:color w:val="auto"/>
                    </w:rPr>
                  </w:pPr>
                  <w:r>
                    <w:rPr>
                      <w:color w:val="auto"/>
                    </w:rPr>
                    <w:t>⑮严控在嘉陵江沿岸地区新建石油化工和煤化工项目。（《广元市打好嘉陵江保护修复攻坚战实施方案》）</w:t>
                  </w:r>
                </w:p>
                <w:p>
                  <w:pPr>
                    <w:jc w:val="left"/>
                    <w:rPr>
                      <w:color w:val="auto"/>
                    </w:rPr>
                  </w:pPr>
                  <w:r>
                    <w:rPr>
                      <w:color w:val="auto"/>
                    </w:rPr>
                    <w:t>⑯严格执行钢铁、水泥、平板玻璃等行业产能置换实施办法，严禁未经产能置换违规新增钢铁、焦化、电解铝、水泥和平板玻璃等产能。（《广元市打赢蓝天保卫战实施方案》）</w:t>
                  </w:r>
                </w:p>
                <w:p>
                  <w:pPr>
                    <w:jc w:val="left"/>
                    <w:rPr>
                      <w:color w:val="auto"/>
                    </w:rPr>
                  </w:pPr>
                  <w:r>
                    <w:rPr>
                      <w:color w:val="auto"/>
                    </w:rPr>
                    <w:t>在嘉陵江岸线1公里范围内，严控新建石油化工、煤化工、涉磷、造纸、印染、制革等项目。（《长江经济带生态环境保护规划》《中共四川省委关于全面推动高质量发展的决定》《四川省人民政府办公厅关于优化区域产业布局的指导意见》）</w:t>
                  </w:r>
                </w:p>
                <w:p>
                  <w:pPr>
                    <w:jc w:val="left"/>
                    <w:rPr>
                      <w:color w:val="auto"/>
                    </w:rPr>
                  </w:pPr>
                  <w:r>
                    <w:rPr>
                      <w:color w:val="auto"/>
                    </w:rPr>
                    <w:t>⑰现有属于园区禁止引入产业门类的企业，原则上限制发展，污染物排放只降不增，允许以提升安全、生态环境保护水平为目的的改建，引导企业结合产业升级等适时搬迁。）</w:t>
                  </w:r>
                </w:p>
                <w:p>
                  <w:pPr>
                    <w:jc w:val="left"/>
                    <w:rPr>
                      <w:b/>
                      <w:bCs/>
                      <w:color w:val="auto"/>
                    </w:rPr>
                  </w:pPr>
                </w:p>
                <w:p>
                  <w:pPr>
                    <w:jc w:val="left"/>
                    <w:rPr>
                      <w:color w:val="auto"/>
                    </w:rPr>
                  </w:pPr>
                  <w:r>
                    <w:rPr>
                      <w:color w:val="auto"/>
                    </w:rPr>
                    <w:t>3、不符合空间布局要求活动的退出要求</w:t>
                  </w:r>
                </w:p>
                <w:p>
                  <w:pPr>
                    <w:jc w:val="left"/>
                    <w:rPr>
                      <w:color w:val="auto"/>
                    </w:rPr>
                  </w:pPr>
                  <w:r>
                    <w:rPr>
                      <w:color w:val="auto"/>
                    </w:rPr>
                    <w:t>以下要求，如相关法律、法规、条例有更新，从其最新规定。</w:t>
                  </w:r>
                </w:p>
                <w:p>
                  <w:pPr>
                    <w:jc w:val="left"/>
                    <w:rPr>
                      <w:color w:val="auto"/>
                    </w:rPr>
                  </w:pPr>
                  <w:r>
                    <w:rPr>
                      <w:color w:val="auto"/>
                    </w:rPr>
                    <w:t>①自然保护区：划入自然保护地核心保护区的永久基本农田，依法有序退出并予以补划。（《中华人民共和国长江保护法》）自然保护区核心区内原有居民确有必要迁出的，由自然保护区所在地的县级以上地方人民政府制定方案，予以妥善安置。（《中华人民共和国自然保护区条例》《四川省自然保护区管理条例》）</w:t>
                  </w:r>
                </w:p>
                <w:p>
                  <w:pPr>
                    <w:jc w:val="left"/>
                    <w:rPr>
                      <w:color w:val="auto"/>
                    </w:rPr>
                  </w:pPr>
                  <w:r>
                    <w:rPr>
                      <w:color w:val="auto"/>
                    </w:rPr>
                    <w:t>②优先保护岸线：按照长江干线非法码头治理标准和生态保护红线管控等要求，持续开展长江主要支流非法码头整治。（《长江保护修复攻坚战行动计划》）</w:t>
                  </w:r>
                </w:p>
                <w:p>
                  <w:pPr>
                    <w:jc w:val="left"/>
                    <w:rPr>
                      <w:color w:val="auto"/>
                    </w:rPr>
                  </w:pPr>
                  <w:r>
                    <w:rPr>
                      <w:color w:val="auto"/>
                    </w:rPr>
                    <w:t>③严格按照广元市各区县畜禽养殖污染治理方案执行，依法关闭或搬迁禁养区内的畜禽养殖场（小区）和养殖专业户。</w:t>
                  </w:r>
                </w:p>
                <w:p>
                  <w:pPr>
                    <w:jc w:val="left"/>
                    <w:rPr>
                      <w:color w:val="auto"/>
                    </w:rPr>
                  </w:pPr>
                  <w:r>
                    <w:rPr>
                      <w:color w:val="auto"/>
                    </w:rPr>
                    <w:t>④现有不符合相关保护区法律法规和规划的项目，应限期整改或关闭。对已造成的污染或损害，应限期治理。</w:t>
                  </w:r>
                </w:p>
                <w:p>
                  <w:pPr>
                    <w:jc w:val="left"/>
                    <w:rPr>
                      <w:color w:val="auto"/>
                    </w:rPr>
                  </w:pPr>
                  <w:r>
                    <w:rPr>
                      <w:color w:val="auto"/>
                    </w:rPr>
                    <w:t>⑤涉及自然保护区、风景名胜区、森林公园、饮用水源保护区等法定自然保护地，现有不符合相关保护区法律法规和规划的项目，应限期整改或关闭。</w:t>
                  </w:r>
                </w:p>
                <w:p>
                  <w:pPr>
                    <w:jc w:val="left"/>
                    <w:rPr>
                      <w:color w:val="auto"/>
                    </w:rPr>
                  </w:pPr>
                  <w:r>
                    <w:rPr>
                      <w:color w:val="auto"/>
                    </w:rPr>
                    <w:t>⑥对长江流域已建小水电工程，不符合生态保护要求的，县级以上地方人民政府应当组织分类整改或者采取措施逐步退出。（《中华人民共和国长江保护法》）</w:t>
                  </w:r>
                </w:p>
                <w:p>
                  <w:pPr>
                    <w:jc w:val="left"/>
                    <w:rPr>
                      <w:color w:val="auto"/>
                    </w:rPr>
                  </w:pPr>
                  <w:r>
                    <w:rPr>
                      <w:color w:val="auto"/>
                    </w:rPr>
                    <w:t>⑦对存在违法违规排污问题的工业企业（特别位于嘉陵江岸线延伸陆域1公里范围内的化工企业）限期整改，整改后仍不能达到要求的依法责令关闭，鼓励企业搬入合规园区。（《中共四川省委四川省人民政府关于全面加强生态环境保护坚决打好污染防治攻坚战的实施意见》）</w:t>
                  </w:r>
                </w:p>
                <w:p>
                  <w:pPr>
                    <w:jc w:val="left"/>
                    <w:rPr>
                      <w:color w:val="auto"/>
                    </w:rPr>
                  </w:pPr>
                  <w:r>
                    <w:rPr>
                      <w:color w:val="auto"/>
                    </w:rPr>
                    <w:t>⑧全面取缔禁养区内规模化畜禽养殖场；嘉陵江岸线延伸至陆域200米范围内基本消除畜禽养殖场（小区）。（《水污染防治行动计划》四川省工作方案、《四川省打好长江保护修复攻坚战实施方案》）</w:t>
                  </w:r>
                </w:p>
                <w:p>
                  <w:pPr>
                    <w:jc w:val="left"/>
                    <w:rPr>
                      <w:color w:val="auto"/>
                    </w:rPr>
                  </w:pPr>
                </w:p>
                <w:p>
                  <w:pPr>
                    <w:jc w:val="left"/>
                    <w:rPr>
                      <w:color w:val="auto"/>
                    </w:rPr>
                  </w:pPr>
                  <w:r>
                    <w:rPr>
                      <w:color w:val="auto"/>
                    </w:rPr>
                    <w:t>4、其他空间布局约束要求</w:t>
                  </w:r>
                </w:p>
                <w:p>
                  <w:pPr>
                    <w:jc w:val="left"/>
                    <w:rPr>
                      <w:color w:val="auto"/>
                    </w:rPr>
                  </w:pPr>
                  <w:r>
                    <w:rPr>
                      <w:color w:val="auto"/>
                    </w:rPr>
                    <w:t>以下要求，如相关法律、法规、条例有更新，从其最新规定。</w:t>
                  </w:r>
                </w:p>
                <w:p>
                  <w:pPr>
                    <w:jc w:val="left"/>
                    <w:rPr>
                      <w:color w:val="auto"/>
                    </w:rPr>
                  </w:pPr>
                  <w:r>
                    <w:rPr>
                      <w:color w:val="auto"/>
                    </w:rPr>
                    <w:t>允许开发建设活动的要求</w:t>
                  </w:r>
                </w:p>
                <w:p>
                  <w:pPr>
                    <w:jc w:val="left"/>
                    <w:rPr>
                      <w:color w:val="auto"/>
                    </w:rPr>
                  </w:pPr>
                  <w:r>
                    <w:rPr>
                      <w:color w:val="auto"/>
                    </w:rPr>
                    <w:t>①生态保护红线：A.零星的原住民在不扩大现有建设用地和耕地规模前提下，修缮生产生活设施，保留生活必须的少量种植、放牧、捕捞、养殖；B.因国家重大能源资源安全需要开展的战略性能源资源勘查、公益性自然资源调查和地质勘查；C.自然资源、生态环境监测和执法，灾害防治和应急抢险活动；D.经依法批准进行的非破坏性科学研究观测、标本采集；E.经依法批准进行的考古调查发掘和文物保护活动；F.不破坏生态功能的适度参观旅游和自然公园内必要的公共设施建设；G.必须且无法避让、符合县级以上国土空间规划的线性基础设施建设、堤防防洪和供水设施建设；H.重要生态修复工程。（依据：《关于在国土空间规划中统筹划定落实三条控制线的指导意见》）生态保护红线范围内的水土流失地块，以自然恢复为主，按照规定有计划地实施退耕还林还草还湿。（《中华人民共和国长江保护法》）</w:t>
                  </w:r>
                </w:p>
                <w:p>
                  <w:pPr>
                    <w:jc w:val="left"/>
                    <w:rPr>
                      <w:color w:val="auto"/>
                    </w:rPr>
                  </w:pPr>
                  <w:r>
                    <w:rPr>
                      <w:color w:val="auto"/>
                    </w:rPr>
                    <w:t>②大熊猫国家公园：</w:t>
                  </w:r>
                </w:p>
                <w:p>
                  <w:pPr>
                    <w:jc w:val="left"/>
                    <w:rPr>
                      <w:color w:val="auto"/>
                    </w:rPr>
                  </w:pPr>
                  <w:r>
                    <w:rPr>
                      <w:color w:val="auto"/>
                    </w:rPr>
                    <w:t>核心保护区允许开展以下活动：A.管护巡护、保护执法等管理活动，经批准的科学研究、资源调查以及必要的科研监测保护和防灾减灾救灾、应急抢险救援等。B.因病虫害、外来物种入侵、维持主要保护对象生存环境等特殊情况，经批准，可以开展重要生态修复工程、物种重引入、增殖放流、病害动植物清理等人工干预措施。C.保护对象位于地下的自然遗迹类区域，可以适度开展不影响地下遗迹保护的人为活动。D.暂时不能搬迁的原住居民，可以有过渡期。过渡期内在不扩大现有建设用地和耕地的情况下，允许修缮生产生活以及供水设施，保留生活必需的少量种植、放牧、捕捞、养殖等活动。E.已有合法线性基础设施和供水等涉及民生的基础设施的运行和维护，以及经批准采取隧道或桥梁等方式穿越或跨越的线性基础设施，必要的航道基础设施建设、河势控制、河道整治等活动。F.已依法设立的铀矿矿业权勘查开采；已依法设立的油气探矿权勘查活动；已依法设立的矿泉水、地热采矿权不扩大生产规模、不新增生产设施，到期后有序退出；其他矿业权停止勘查开采活动。</w:t>
                  </w:r>
                </w:p>
                <w:p>
                  <w:pPr>
                    <w:jc w:val="left"/>
                    <w:rPr>
                      <w:color w:val="auto"/>
                    </w:rPr>
                  </w:pPr>
                  <w:r>
                    <w:rPr>
                      <w:color w:val="auto"/>
                    </w:rPr>
                    <w:t>一般控制区允许以下对生态功能不造成破坏的有限人为活动：A.核心保护区允许开展的活动。B.零星的原住居民在不扩大现有建设用地和耕地规模前提下，允许修缮生产生活设施，保留生活必需种植、放牧、捕捞、养殖等活动。C.自然资源、生态环境监测和执法，包括水文水资源监测和涉水违法事件的查处等，灾害风险监测、灾害防治活动。D.经依法批准的非破坏性科学研究观测、标本采集。E.经依法批准的考古调查发掘和文物保护活动。F.适度的参观旅游及相关的必要公共设施建设。G.必须且无法避让、符合县级以上规划的线性基础设施及防洪、供水、交通运输等基础设施建设与运行维护；已有的合法水利、水电、交诵运输等设施改扩建、运行和维护。H.战略性矿产资源基础地质调查和矿产远景调查等公益性工作；已依法设立的油气采矿权在不扩大生产区域范围，以及矿泉水、地热采矿权在不扩大生产规模、不新增生产设施的条件下，继续开采活动；其他矿业权停止勘查开采活动。I.确实难以避让的军事设施建设项目及重大军事演训活动。（《大熊猫国家公园总体规划（试行）》）</w:t>
                  </w:r>
                </w:p>
                <w:p>
                  <w:pPr>
                    <w:jc w:val="left"/>
                    <w:rPr>
                      <w:color w:val="auto"/>
                    </w:rPr>
                  </w:pPr>
                  <w:r>
                    <w:rPr>
                      <w:color w:val="auto"/>
                    </w:rPr>
                    <w:t>③位于城镇空间外的区外工业企业：A.具有合法手续的企业，且污染物排放及环境风险满足管理要求的企业，可继续保留。其中，钢铁、石化、化工、焦化、有色等高污染项目原则上限制发展，要求污染物排放只降不增，并进一步加强日常环保监管；允许以提升安全、生态环境保护水平为目的的改建，以及不增加污染物排放和环境风险的产品升级调整，引导企业结合产业升级、化解过剩产能等，搬迁入园。B.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tc>
              <w:tc>
                <w:tcPr>
                  <w:tcW w:w="1838" w:type="dxa"/>
                  <w:vAlign w:val="center"/>
                </w:tcPr>
                <w:p>
                  <w:pPr>
                    <w:pStyle w:val="63"/>
                    <w:jc w:val="both"/>
                    <w:rPr>
                      <w:color w:val="auto"/>
                      <w:szCs w:val="21"/>
                    </w:rPr>
                  </w:pPr>
                  <w:r>
                    <w:rPr>
                      <w:color w:val="auto"/>
                      <w:szCs w:val="21"/>
                    </w:rPr>
                    <w:t>①本项目部分区域涉及生态保护红线边界，本项目属于防洪治理工程，是必须且无法避让、符合县级以上规划的防洪基础设施建设。</w:t>
                  </w:r>
                </w:p>
                <w:p>
                  <w:pPr>
                    <w:pStyle w:val="63"/>
                    <w:jc w:val="both"/>
                    <w:rPr>
                      <w:color w:val="auto"/>
                      <w:szCs w:val="21"/>
                    </w:rPr>
                  </w:pPr>
                  <w:r>
                    <w:rPr>
                      <w:color w:val="auto"/>
                      <w:szCs w:val="21"/>
                    </w:rPr>
                    <w:t>②本项目不在大熊猫国家公园范围内。</w:t>
                  </w:r>
                </w:p>
                <w:p>
                  <w:pPr>
                    <w:pStyle w:val="63"/>
                    <w:jc w:val="left"/>
                    <w:rPr>
                      <w:color w:val="auto"/>
                      <w:szCs w:val="21"/>
                    </w:rPr>
                  </w:pPr>
                  <w:r>
                    <w:rPr>
                      <w:color w:val="auto"/>
                      <w:szCs w:val="21"/>
                    </w:rPr>
                    <w:t>③本项目部分建设段</w:t>
                  </w:r>
                  <w:r>
                    <w:rPr>
                      <w:rFonts w:hint="eastAsia"/>
                      <w:color w:val="auto"/>
                      <w:szCs w:val="21"/>
                      <w:lang w:eastAsia="zh-CN"/>
                    </w:rPr>
                    <w:t>（</w:t>
                  </w:r>
                  <w:r>
                    <w:rPr>
                      <w:rFonts w:eastAsia="宋体"/>
                      <w:color w:val="auto"/>
                      <w:sz w:val="21"/>
                    </w:rPr>
                    <w:t>2段防洪堤及1处围堰，清淤疏浚位于保护区以外</w:t>
                  </w:r>
                  <w:r>
                    <w:rPr>
                      <w:rFonts w:hint="eastAsia"/>
                      <w:color w:val="auto"/>
                      <w:szCs w:val="21"/>
                      <w:lang w:eastAsia="zh-CN"/>
                    </w:rPr>
                    <w:t>）</w:t>
                  </w:r>
                  <w:r>
                    <w:rPr>
                      <w:color w:val="auto"/>
                      <w:szCs w:val="21"/>
                    </w:rPr>
                    <w:t>，</w:t>
                  </w:r>
                  <w:r>
                    <w:rPr>
                      <w:rFonts w:hint="eastAsia"/>
                      <w:color w:val="auto"/>
                      <w:szCs w:val="21"/>
                      <w:lang w:eastAsia="zh-CN"/>
                    </w:rPr>
                    <w:t>不涉及核心区</w:t>
                  </w:r>
                  <w:r>
                    <w:rPr>
                      <w:color w:val="auto"/>
                      <w:szCs w:val="21"/>
                    </w:rPr>
                    <w:t>及缓冲区。本项目为防洪治理工程，不属于污染环境、破坏资源或者景观的生产设施，项目运营期无污染物排放。施工期间严格控制道路扬尘，配备1台洒水车，重点在各工区、施工道路等地，非雨日的早、中、晚来回洒水，减少扬尘，缩短粉尘的影响时段，减小影响范围。本项目施工期间产生的生活垃圾等废物进行统一处理，设置垃圾桶，交由环卫部门定期清运。本项目工程施工期产生的生活污水依托租用居民房屋已建化粪池处理后用于周边农田及林地施肥，不外排。</w:t>
                  </w:r>
                </w:p>
                <w:p>
                  <w:pPr>
                    <w:pStyle w:val="63"/>
                    <w:jc w:val="both"/>
                    <w:rPr>
                      <w:color w:val="auto"/>
                      <w:szCs w:val="21"/>
                    </w:rPr>
                  </w:pPr>
                  <w:r>
                    <w:rPr>
                      <w:color w:val="auto"/>
                      <w:szCs w:val="21"/>
                    </w:rPr>
                    <w:t>④本项目不涉及风景名胜区。</w:t>
                  </w:r>
                </w:p>
                <w:p>
                  <w:pPr>
                    <w:pStyle w:val="63"/>
                    <w:jc w:val="both"/>
                    <w:rPr>
                      <w:color w:val="auto"/>
                      <w:szCs w:val="21"/>
                    </w:rPr>
                  </w:pPr>
                  <w:r>
                    <w:rPr>
                      <w:color w:val="auto"/>
                      <w:szCs w:val="21"/>
                    </w:rPr>
                    <w:t>⑤本项目不涉及饮用水源保护区。⑥本项目不涉及森林公园、湿地公园、地质公园、水产种质资源保护区。</w:t>
                  </w:r>
                </w:p>
                <w:p>
                  <w:pPr>
                    <w:pStyle w:val="63"/>
                    <w:jc w:val="both"/>
                    <w:rPr>
                      <w:color w:val="auto"/>
                      <w:szCs w:val="21"/>
                    </w:rPr>
                  </w:pPr>
                  <w:r>
                    <w:rPr>
                      <w:color w:val="auto"/>
                      <w:szCs w:val="21"/>
                    </w:rPr>
                    <w:t>⑦根据本项目用地红线范围，本项目占地不涉及占用基本农田、不涉及基本保护岸线、水土流失敏感区、生物多样性维护重要区、水土保持功能重要区。</w:t>
                  </w:r>
                </w:p>
                <w:p>
                  <w:pPr>
                    <w:pStyle w:val="63"/>
                    <w:jc w:val="both"/>
                    <w:rPr>
                      <w:color w:val="auto"/>
                      <w:szCs w:val="21"/>
                    </w:rPr>
                  </w:pPr>
                  <w:r>
                    <w:rPr>
                      <w:color w:val="auto"/>
                      <w:szCs w:val="21"/>
                    </w:rPr>
                    <w:t>⑧本项目为防洪治理工程，不属于生产性企业。</w:t>
                  </w:r>
                </w:p>
              </w:tc>
              <w:tc>
                <w:tcPr>
                  <w:tcW w:w="808" w:type="dxa"/>
                  <w:vAlign w:val="center"/>
                </w:tcPr>
                <w:p>
                  <w:pPr>
                    <w:jc w:val="center"/>
                    <w:rPr>
                      <w:b/>
                      <w:bCs/>
                      <w:color w:val="auto"/>
                      <w:kern w:val="0"/>
                      <w:szCs w:val="21"/>
                    </w:rPr>
                  </w:pPr>
                  <w:r>
                    <w:rPr>
                      <w:b/>
                      <w:bCs/>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pStyle w:val="63"/>
                    <w:jc w:val="both"/>
                    <w:rPr>
                      <w:color w:val="auto"/>
                      <w:szCs w:val="21"/>
                    </w:rPr>
                  </w:pPr>
                  <w:r>
                    <w:rPr>
                      <w:color w:val="auto"/>
                      <w:szCs w:val="21"/>
                    </w:rPr>
                    <w:t>1、现有源提标升级改造</w:t>
                  </w:r>
                </w:p>
                <w:p>
                  <w:pPr>
                    <w:pStyle w:val="63"/>
                    <w:jc w:val="both"/>
                    <w:rPr>
                      <w:color w:val="auto"/>
                      <w:szCs w:val="21"/>
                    </w:rPr>
                  </w:pPr>
                  <w:r>
                    <w:rPr>
                      <w:color w:val="auto"/>
                      <w:szCs w:val="21"/>
                    </w:rPr>
                    <w:t>推行砖瓦行业脱硝治理，保持燃煤电厂和水泥企业脱硫脱硝设施正常运行、稳定达标并逐步推行超低排放改造，综合脱硫脱硝效率不低于70%。深化炼焦行业二氧化硫治理。对不能稳定达标的硫磺回收尾气，提高硫磺回收率，确保硫磺尾气稳定达标；焦炉煤气硫化氢脱除效果达到99%以上，直接燃烧的应安装脱硫设施，确保稳定达标排放。（《广元市蓝天保卫行动方案》）</w:t>
                  </w:r>
                </w:p>
                <w:p>
                  <w:pPr>
                    <w:pStyle w:val="63"/>
                    <w:jc w:val="both"/>
                    <w:rPr>
                      <w:color w:val="auto"/>
                      <w:szCs w:val="21"/>
                    </w:rPr>
                  </w:pPr>
                </w:p>
                <w:p>
                  <w:pPr>
                    <w:pStyle w:val="63"/>
                    <w:jc w:val="both"/>
                    <w:rPr>
                      <w:color w:val="auto"/>
                      <w:szCs w:val="21"/>
                    </w:rPr>
                  </w:pPr>
                  <w:r>
                    <w:rPr>
                      <w:color w:val="auto"/>
                      <w:szCs w:val="21"/>
                    </w:rPr>
                    <w:t>2、其他污染物排放管控要求</w:t>
                  </w:r>
                </w:p>
                <w:p>
                  <w:pPr>
                    <w:pStyle w:val="63"/>
                    <w:jc w:val="both"/>
                    <w:rPr>
                      <w:color w:val="auto"/>
                      <w:szCs w:val="21"/>
                    </w:rPr>
                  </w:pPr>
                  <w:r>
                    <w:rPr>
                      <w:color w:val="auto"/>
                      <w:szCs w:val="21"/>
                    </w:rPr>
                    <w:t>①新增源等量或倍量替代：</w:t>
                  </w:r>
                </w:p>
                <w:p>
                  <w:pPr>
                    <w:pStyle w:val="63"/>
                    <w:jc w:val="both"/>
                    <w:rPr>
                      <w:color w:val="auto"/>
                      <w:szCs w:val="21"/>
                    </w:rPr>
                  </w:pPr>
                  <w:r>
                    <w:rPr>
                      <w:color w:val="auto"/>
                      <w:szCs w:val="21"/>
                    </w:rPr>
                    <w:t>-若上一年度空气质量年平均浓度不达标、水环境质量未达到要求，则建设项目新增相关污染物按照总量管控要求进行倍量削减替代。（依据：《建设项目主要污染物排放总量指标审核及管理暂行办法》）</w:t>
                  </w:r>
                </w:p>
                <w:p>
                  <w:pPr>
                    <w:pStyle w:val="63"/>
                    <w:jc w:val="both"/>
                    <w:rPr>
                      <w:color w:val="auto"/>
                      <w:szCs w:val="21"/>
                    </w:rPr>
                  </w:pPr>
                  <w:r>
                    <w:rPr>
                      <w:color w:val="auto"/>
                      <w:szCs w:val="21"/>
                    </w:rPr>
                    <w:t>-若上一年度空气环境质量、水环境质量达标，则建设项目新增相关污染物按照总量管控要求进行等量替代。</w:t>
                  </w:r>
                </w:p>
                <w:p>
                  <w:pPr>
                    <w:pStyle w:val="63"/>
                    <w:jc w:val="both"/>
                    <w:rPr>
                      <w:color w:val="auto"/>
                      <w:szCs w:val="21"/>
                    </w:rPr>
                  </w:pPr>
                  <w:r>
                    <w:rPr>
                      <w:color w:val="auto"/>
                      <w:szCs w:val="21"/>
                    </w:rPr>
                    <w:t>-新增VOCs排放的建设项目实行等量替代。（依据：《四川省打赢蓝天保卫战实施方案》）</w:t>
                  </w:r>
                </w:p>
                <w:p>
                  <w:pPr>
                    <w:pStyle w:val="63"/>
                    <w:jc w:val="both"/>
                    <w:rPr>
                      <w:color w:val="auto"/>
                      <w:szCs w:val="21"/>
                    </w:rPr>
                  </w:pPr>
                  <w:r>
                    <w:rPr>
                      <w:color w:val="auto"/>
                      <w:szCs w:val="21"/>
                    </w:rPr>
                    <w:t>-水质超标的水功能区，应当实施更严格的污染物排放总量削减要求。（《中华人民共和国长江保护法》）</w:t>
                  </w:r>
                </w:p>
                <w:p>
                  <w:pPr>
                    <w:pStyle w:val="63"/>
                    <w:jc w:val="both"/>
                    <w:rPr>
                      <w:color w:val="auto"/>
                      <w:szCs w:val="21"/>
                    </w:rPr>
                  </w:pPr>
                  <w:r>
                    <w:rPr>
                      <w:color w:val="auto"/>
                      <w:szCs w:val="21"/>
                    </w:rPr>
                    <w:t>-新建冶金、电镀、有色金属、化工、印染、制革、原料药制造等企业，原则上布局在符合产业定位的园区，其排放的污水由园区污水处理厂集中处理。（《关于进一步规范城镇（园区）污水处理环境管理的通知》）</w:t>
                  </w:r>
                </w:p>
                <w:p>
                  <w:pPr>
                    <w:pStyle w:val="63"/>
                    <w:jc w:val="both"/>
                    <w:rPr>
                      <w:color w:val="auto"/>
                      <w:szCs w:val="21"/>
                    </w:rPr>
                  </w:pPr>
                  <w:r>
                    <w:rPr>
                      <w:color w:val="auto"/>
                      <w:szCs w:val="21"/>
                    </w:rPr>
                    <w:t>②污染物排放绩效水平准入要求：</w:t>
                  </w:r>
                </w:p>
                <w:p>
                  <w:pPr>
                    <w:pStyle w:val="63"/>
                    <w:jc w:val="both"/>
                    <w:rPr>
                      <w:color w:val="auto"/>
                      <w:szCs w:val="21"/>
                    </w:rPr>
                  </w:pPr>
                  <w:r>
                    <w:rPr>
                      <w:color w:val="auto"/>
                      <w:szCs w:val="21"/>
                    </w:rPr>
                    <w:t>A.水环境：</w:t>
                  </w:r>
                </w:p>
                <w:p>
                  <w:pPr>
                    <w:pStyle w:val="63"/>
                    <w:jc w:val="both"/>
                    <w:rPr>
                      <w:color w:val="auto"/>
                      <w:szCs w:val="21"/>
                    </w:rPr>
                  </w:pPr>
                  <w:r>
                    <w:rPr>
                      <w:color w:val="auto"/>
                      <w:szCs w:val="21"/>
                    </w:rPr>
                    <w:t>-到2023年底，所有建制镇具备污水处理能力。（《广元市城镇污水处理设施建设三年推进实施方案（2021-2023年）》）</w:t>
                  </w:r>
                </w:p>
                <w:p>
                  <w:pPr>
                    <w:pStyle w:val="63"/>
                    <w:jc w:val="both"/>
                    <w:rPr>
                      <w:color w:val="auto"/>
                      <w:szCs w:val="21"/>
                    </w:rPr>
                  </w:pPr>
                  <w:r>
                    <w:rPr>
                      <w:color w:val="auto"/>
                      <w:szCs w:val="21"/>
                    </w:rPr>
                    <w:t>-鼓励畜禽粪污还田利用。粪污经无害化处理后还田利用具体要求及限量应符合《畜禽粪便无害化处理技术规范》、《畜禽粪便还田技术规范》、《畜禽粪污土地承载力测算技术指南》。用于农田灌溉的，应符合《农田灌溉水质标准》（GB5084）。（《关于进一步明确畜禽粪污还田利用要求强化养殖污染监管的通知》）</w:t>
                  </w:r>
                </w:p>
                <w:p>
                  <w:pPr>
                    <w:pStyle w:val="63"/>
                    <w:jc w:val="both"/>
                    <w:rPr>
                      <w:color w:val="auto"/>
                      <w:szCs w:val="21"/>
                    </w:rPr>
                  </w:pPr>
                  <w:r>
                    <w:rPr>
                      <w:color w:val="auto"/>
                      <w:szCs w:val="21"/>
                    </w:rPr>
                    <w:t>-规模化畜禽养殖场（小区）粪污处理设施装备配套率达到95%以上，畜禽粪污基本实现资源化利用。（《四川省打赢碧水保卫战实施方案》）</w:t>
                  </w:r>
                </w:p>
                <w:p>
                  <w:pPr>
                    <w:pStyle w:val="63"/>
                    <w:jc w:val="both"/>
                    <w:rPr>
                      <w:color w:val="auto"/>
                      <w:szCs w:val="21"/>
                    </w:rPr>
                  </w:pPr>
                  <w:r>
                    <w:rPr>
                      <w:color w:val="auto"/>
                      <w:szCs w:val="21"/>
                    </w:rPr>
                    <w:t>-屠宰项目应配套污水处理设施或进入城镇污水管网。新、改扩白酒酿造企业需满足《四川省白酒产业环境准入指标体系分析》中提出的相应区域污染物排放约束性管控指标。</w:t>
                  </w:r>
                </w:p>
                <w:p>
                  <w:pPr>
                    <w:pStyle w:val="63"/>
                    <w:jc w:val="both"/>
                    <w:rPr>
                      <w:color w:val="auto"/>
                      <w:szCs w:val="21"/>
                    </w:rPr>
                  </w:pPr>
                  <w:r>
                    <w:rPr>
                      <w:color w:val="auto"/>
                      <w:szCs w:val="21"/>
                    </w:rPr>
                    <w:t>B.大气环境污染物：</w:t>
                  </w:r>
                </w:p>
                <w:p>
                  <w:pPr>
                    <w:pStyle w:val="63"/>
                    <w:jc w:val="both"/>
                    <w:rPr>
                      <w:color w:val="auto"/>
                      <w:szCs w:val="21"/>
                    </w:rPr>
                  </w:pPr>
                  <w:r>
                    <w:rPr>
                      <w:color w:val="auto"/>
                      <w:szCs w:val="21"/>
                    </w:rPr>
                    <w:t>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63"/>
                    <w:jc w:val="both"/>
                    <w:rPr>
                      <w:color w:val="auto"/>
                      <w:szCs w:val="21"/>
                    </w:rPr>
                  </w:pPr>
                  <w:r>
                    <w:rPr>
                      <w:color w:val="auto"/>
                      <w:szCs w:val="21"/>
                    </w:rPr>
                    <w:t>严格执行《四川省机动车和非道路移动机械排气污染防治办法》。加强油品的监督管理。按照国家、省要求全面供应国六标准的车用汽柴油，严厉打击生产、销售、使用不合格油品和车用尿素行为。</w:t>
                  </w:r>
                </w:p>
                <w:p>
                  <w:pPr>
                    <w:pStyle w:val="63"/>
                    <w:jc w:val="both"/>
                    <w:rPr>
                      <w:color w:val="auto"/>
                      <w:szCs w:val="21"/>
                    </w:rPr>
                  </w:pPr>
                  <w:r>
                    <w:rPr>
                      <w:color w:val="auto"/>
                      <w:szCs w:val="21"/>
                    </w:rPr>
                    <w:t>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严控城市垃圾、落叶露天焚烧。（《四川省机动车和非道路移动机械排气污染防治办法》）</w:t>
                  </w:r>
                </w:p>
                <w:p>
                  <w:pPr>
                    <w:pStyle w:val="63"/>
                    <w:jc w:val="both"/>
                    <w:rPr>
                      <w:color w:val="auto"/>
                      <w:szCs w:val="21"/>
                    </w:rPr>
                  </w:pPr>
                  <w:r>
                    <w:rPr>
                      <w:color w:val="auto"/>
                      <w:szCs w:val="21"/>
                    </w:rPr>
                    <w:t>C.固体废物：</w:t>
                  </w:r>
                </w:p>
                <w:p>
                  <w:pPr>
                    <w:pStyle w:val="63"/>
                    <w:jc w:val="both"/>
                    <w:rPr>
                      <w:color w:val="auto"/>
                      <w:szCs w:val="21"/>
                    </w:rPr>
                  </w:pPr>
                  <w:r>
                    <w:rPr>
                      <w:color w:val="auto"/>
                      <w:szCs w:val="21"/>
                    </w:rPr>
                    <w:t>-到2023年底，乡镇及行政村生活垃圾收转运处置体系基本实现全覆盖。大力推进农村生活垃圾就地分类减量和资源化利用，因地制宜选择农村生活垃圾治理模式。建制镇污水处理设施产生的污泥原则上应纳入城市集中无害化处置范围。（《广元市城乡生活垃圾处理设施建设三年推进实施方案（2021-2023年）》）</w:t>
                  </w:r>
                </w:p>
                <w:p>
                  <w:pPr>
                    <w:pStyle w:val="63"/>
                    <w:jc w:val="both"/>
                    <w:rPr>
                      <w:color w:val="auto"/>
                      <w:szCs w:val="21"/>
                    </w:rPr>
                  </w:pPr>
                  <w:r>
                    <w:rPr>
                      <w:color w:val="auto"/>
                      <w:szCs w:val="21"/>
                    </w:rPr>
                    <w:t>③新增源排放标准限制：</w:t>
                  </w:r>
                </w:p>
                <w:p>
                  <w:pPr>
                    <w:pStyle w:val="63"/>
                    <w:jc w:val="both"/>
                    <w:rPr>
                      <w:color w:val="auto"/>
                      <w:szCs w:val="21"/>
                    </w:rPr>
                  </w:pPr>
                  <w:r>
                    <w:rPr>
                      <w:color w:val="auto"/>
                      <w:szCs w:val="21"/>
                    </w:rPr>
                    <w:t>污染物排放绩效水平准入要求：</w:t>
                  </w:r>
                </w:p>
                <w:p>
                  <w:pPr>
                    <w:pStyle w:val="63"/>
                    <w:jc w:val="both"/>
                    <w:rPr>
                      <w:color w:val="auto"/>
                      <w:szCs w:val="21"/>
                    </w:rPr>
                  </w:pPr>
                  <w:r>
                    <w:rPr>
                      <w:color w:val="auto"/>
                      <w:szCs w:val="21"/>
                    </w:rPr>
                    <w:t>-园区企业生产、生活废水应严格全部纳入园区污水处理厂集中处理，达标排放；污水收集率100%。</w:t>
                  </w:r>
                </w:p>
                <w:p>
                  <w:pPr>
                    <w:pStyle w:val="63"/>
                    <w:jc w:val="both"/>
                    <w:rPr>
                      <w:color w:val="auto"/>
                      <w:szCs w:val="21"/>
                    </w:rPr>
                  </w:pPr>
                  <w:r>
                    <w:rPr>
                      <w:color w:val="auto"/>
                      <w:szCs w:val="21"/>
                    </w:rPr>
                    <w:t>-磷肥和含磷农药制造等企业，应当按照排污许可要求，采取有效措施控制总磷排放浓度和排放总量。（《中华人民共和国长江保护法》）</w:t>
                  </w:r>
                </w:p>
                <w:p>
                  <w:pPr>
                    <w:pStyle w:val="63"/>
                    <w:jc w:val="both"/>
                    <w:rPr>
                      <w:color w:val="auto"/>
                      <w:szCs w:val="21"/>
                    </w:rPr>
                  </w:pPr>
                  <w:r>
                    <w:rPr>
                      <w:color w:val="auto"/>
                      <w:szCs w:val="21"/>
                    </w:rPr>
                    <w:t>-推进石化、医药等化工类，汽车制造、机械设备制造、家具制造等工业涂装类，包装印刷等行业VOCs综合治理。（《广元市打赢蓝天保卫战实施方案》）</w:t>
                  </w:r>
                </w:p>
              </w:tc>
              <w:tc>
                <w:tcPr>
                  <w:tcW w:w="1838" w:type="dxa"/>
                  <w:vAlign w:val="center"/>
                </w:tcPr>
                <w:p>
                  <w:pPr>
                    <w:pStyle w:val="63"/>
                    <w:rPr>
                      <w:color w:val="auto"/>
                      <w:szCs w:val="21"/>
                    </w:rPr>
                  </w:pPr>
                  <w:r>
                    <w:rPr>
                      <w:color w:val="auto"/>
                      <w:szCs w:val="21"/>
                    </w:rPr>
                    <w:t>本项目为防洪治理工程，不属于生产性企业，不涉及VOCs等废气产排。项目运营期无污染物排放。施工期间严格控制道路扬尘，配备1台洒水车，重点在各工区、施工道路等地，非雨日的早、中、晚来回洒水，减少扬尘，缩短粉尘的影响时段，减小影响范围。本项目施工期间产生的生活垃圾等废物进行统一处理，设置垃圾桶，交由环卫部门定期清运。本项目工程施工期产生的生活污水依托租用居民房屋已建化粪池处理后用于周边农田及林地施肥，不外排。</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jc w:val="left"/>
                    <w:rPr>
                      <w:color w:val="auto"/>
                      <w:szCs w:val="21"/>
                    </w:rPr>
                  </w:pPr>
                  <w:r>
                    <w:rPr>
                      <w:color w:val="auto"/>
                      <w:szCs w:val="21"/>
                    </w:rPr>
                    <w:t>1、联防联控要求</w:t>
                  </w:r>
                </w:p>
                <w:p>
                  <w:pPr>
                    <w:pStyle w:val="63"/>
                    <w:jc w:val="left"/>
                    <w:rPr>
                      <w:color w:val="auto"/>
                      <w:szCs w:val="21"/>
                    </w:rPr>
                  </w:pPr>
                  <w:r>
                    <w:rPr>
                      <w:color w:val="auto"/>
                      <w:szCs w:val="21"/>
                    </w:rPr>
                    <w:t>加强与嘉陵江上游甘肃陇南市、陕西汉中市环境风险联防联控</w:t>
                  </w:r>
                </w:p>
                <w:p>
                  <w:pPr>
                    <w:pStyle w:val="63"/>
                    <w:jc w:val="left"/>
                    <w:rPr>
                      <w:color w:val="auto"/>
                      <w:szCs w:val="21"/>
                    </w:rPr>
                  </w:pPr>
                </w:p>
                <w:p>
                  <w:pPr>
                    <w:pStyle w:val="63"/>
                    <w:jc w:val="left"/>
                    <w:rPr>
                      <w:color w:val="auto"/>
                      <w:szCs w:val="21"/>
                    </w:rPr>
                  </w:pPr>
                  <w:r>
                    <w:rPr>
                      <w:color w:val="auto"/>
                      <w:szCs w:val="21"/>
                    </w:rPr>
                    <w:t>2、其他环境风险防控要求</w:t>
                  </w:r>
                </w:p>
                <w:p>
                  <w:pPr>
                    <w:pStyle w:val="63"/>
                    <w:jc w:val="left"/>
                    <w:rPr>
                      <w:color w:val="auto"/>
                      <w:szCs w:val="21"/>
                    </w:rPr>
                  </w:pPr>
                  <w:r>
                    <w:rPr>
                      <w:color w:val="auto"/>
                      <w:szCs w:val="21"/>
                    </w:rPr>
                    <w:t>企业环境风险防控要求：</w:t>
                  </w:r>
                </w:p>
                <w:p>
                  <w:pPr>
                    <w:pStyle w:val="63"/>
                    <w:jc w:val="left"/>
                    <w:rPr>
                      <w:color w:val="auto"/>
                      <w:szCs w:val="21"/>
                    </w:rPr>
                  </w:pPr>
                  <w:r>
                    <w:rPr>
                      <w:color w:val="auto"/>
                      <w:szCs w:val="21"/>
                    </w:rPr>
                    <w:t>工业企业退出用地，应按相关要求进行评估、修复，满足相应用地功能后，方可改变用途。（《土壤污染防治行动计划》）</w:t>
                  </w:r>
                </w:p>
                <w:p>
                  <w:pPr>
                    <w:pStyle w:val="63"/>
                    <w:jc w:val="left"/>
                    <w:rPr>
                      <w:color w:val="auto"/>
                      <w:szCs w:val="21"/>
                    </w:rPr>
                  </w:pPr>
                  <w:r>
                    <w:rPr>
                      <w:color w:val="auto"/>
                      <w:szCs w:val="21"/>
                    </w:rPr>
                    <w:t>加强“散乱污”企业环境风险防控。（《四川省打好“散乱污”企业整治攻坚战实施方案》）</w:t>
                  </w:r>
                </w:p>
                <w:p>
                  <w:pPr>
                    <w:pStyle w:val="63"/>
                    <w:jc w:val="left"/>
                    <w:rPr>
                      <w:color w:val="auto"/>
                      <w:szCs w:val="21"/>
                    </w:rPr>
                  </w:pPr>
                  <w:r>
                    <w:rPr>
                      <w:color w:val="auto"/>
                      <w:szCs w:val="21"/>
                    </w:rPr>
                    <w:t>严禁新增铅、汞、镉、铬、砷五类重金属污染物排放，引导现有排放重金属企业结合产业升级等适时搬迁入园。涉及有毒有害、易燃易爆物质新、改、扩建项目，严控准入要求。</w:t>
                  </w:r>
                </w:p>
                <w:p>
                  <w:pPr>
                    <w:pStyle w:val="63"/>
                    <w:jc w:val="left"/>
                    <w:rPr>
                      <w:color w:val="auto"/>
                      <w:szCs w:val="21"/>
                    </w:rPr>
                  </w:pPr>
                  <w:r>
                    <w:rPr>
                      <w:color w:val="auto"/>
                      <w:szCs w:val="21"/>
                    </w:rPr>
                    <w:t>园区环境风险防控要求：</w:t>
                  </w:r>
                </w:p>
                <w:p>
                  <w:pPr>
                    <w:pStyle w:val="63"/>
                    <w:jc w:val="left"/>
                    <w:rPr>
                      <w:color w:val="auto"/>
                      <w:szCs w:val="21"/>
                    </w:rPr>
                  </w:pPr>
                  <w:r>
                    <w:rPr>
                      <w:color w:val="auto"/>
                      <w:szCs w:val="21"/>
                    </w:rPr>
                    <w:t>构建三级环境风险防控体系，强化危化品泄漏应急处置措施，确保风险可控。针对化工园区建立有毒有害气体环境风险预警体系，建立区域、流域联动应急响应体系，实行联防联控。</w:t>
                  </w:r>
                </w:p>
                <w:p>
                  <w:pPr>
                    <w:pStyle w:val="63"/>
                    <w:jc w:val="left"/>
                    <w:rPr>
                      <w:color w:val="auto"/>
                      <w:szCs w:val="21"/>
                    </w:rPr>
                  </w:pPr>
                  <w:r>
                    <w:rPr>
                      <w:color w:val="auto"/>
                      <w:szCs w:val="21"/>
                    </w:rPr>
                    <w:t>用地环境风险防控要求：</w:t>
                  </w:r>
                </w:p>
                <w:p>
                  <w:pPr>
                    <w:pStyle w:val="63"/>
                    <w:jc w:val="left"/>
                    <w:rPr>
                      <w:color w:val="auto"/>
                      <w:szCs w:val="21"/>
                    </w:rPr>
                  </w:pPr>
                  <w:r>
                    <w:rPr>
                      <w:color w:val="auto"/>
                      <w:szCs w:val="21"/>
                    </w:rPr>
                    <w:t>建设用地：</w:t>
                  </w:r>
                </w:p>
                <w:p>
                  <w:pPr>
                    <w:pStyle w:val="63"/>
                    <w:jc w:val="left"/>
                    <w:rPr>
                      <w:color w:val="auto"/>
                      <w:szCs w:val="21"/>
                    </w:rPr>
                  </w:pPr>
                  <w:r>
                    <w:rPr>
                      <w:color w:val="auto"/>
                      <w:szCs w:val="21"/>
                    </w:rPr>
                    <w:t>有色金属冶炼、石油加工、化工、焦化、电镀、制革等行业企业拆除生产设施设备、构筑物和污染治理设施，要事先制定残留污染物清理和安全处置方案，要严格按照有关规定实施安全处理处置，防范拆除活动污染土壤。（《土壤污染防治行动计划》）</w:t>
                  </w:r>
                </w:p>
                <w:p>
                  <w:pPr>
                    <w:pStyle w:val="63"/>
                    <w:jc w:val="left"/>
                    <w:rPr>
                      <w:color w:val="auto"/>
                      <w:szCs w:val="21"/>
                    </w:rPr>
                  </w:pPr>
                  <w:r>
                    <w:rPr>
                      <w:color w:val="auto"/>
                      <w:szCs w:val="21"/>
                    </w:rPr>
                    <w:t>对拟收回土地使用权的有色金属矿采选、有色金属冶炼、石油加工、化工、焦化、电镀、制革、天然（页岩）气开采、铅蓄电池、汽车制造、农药、危废处置、电子拆解等行业企业用地，由土地使用权人按照国家发布的建设用地土壤环境调查评估技术规定，开展土壤环境状况调查评估。（《土壤污染防治行动计划广元市工作方案》）</w:t>
                  </w:r>
                </w:p>
                <w:p>
                  <w:pPr>
                    <w:pStyle w:val="63"/>
                    <w:jc w:val="left"/>
                    <w:rPr>
                      <w:color w:val="auto"/>
                      <w:szCs w:val="21"/>
                    </w:rPr>
                  </w:pPr>
                  <w:r>
                    <w:rPr>
                      <w:color w:val="auto"/>
                      <w:szCs w:val="21"/>
                    </w:rPr>
                    <w:t>农用地：</w:t>
                  </w:r>
                </w:p>
                <w:p>
                  <w:pPr>
                    <w:pStyle w:val="63"/>
                    <w:jc w:val="left"/>
                    <w:rPr>
                      <w:color w:val="auto"/>
                      <w:szCs w:val="21"/>
                    </w:rPr>
                  </w:pPr>
                  <w:r>
                    <w:rPr>
                      <w:color w:val="auto"/>
                      <w:szCs w:val="21"/>
                    </w:rPr>
                    <w:t>到2035年，全市受污染耕地安全利用率得到有效保障，污染地块安全利用率得到有效保障。严禁将城镇生活垃圾、污泥、工业废物直接用作肥料，禁止处理不达标的污泥进入耕地；禁止在农用地排放、倾倒、使用污泥、清淤底泥、尾矿（渣）等可能对土壤造成污染的固体废物。（《土壤污染防治行动计划》）</w:t>
                  </w:r>
                </w:p>
                <w:p>
                  <w:pPr>
                    <w:pStyle w:val="63"/>
                    <w:jc w:val="left"/>
                    <w:rPr>
                      <w:color w:val="auto"/>
                      <w:szCs w:val="21"/>
                    </w:rPr>
                  </w:pPr>
                  <w:r>
                    <w:rPr>
                      <w:color w:val="auto"/>
                      <w:szCs w:val="21"/>
                    </w:rPr>
                    <w:t>严格控制在优先保护类耕地集中区域新建有色金属矿采选、有色金属冶炼、石油加工、化工、焦化、电镀、制革、天然（页岩）气开采、铅蓄电池、汽车制造、农药、危废处置、电子拆解、涉重等行业企业。（《土壤污染防治行动计划广元市工作方案》）</w:t>
                  </w:r>
                </w:p>
                <w:p>
                  <w:pPr>
                    <w:pStyle w:val="63"/>
                    <w:jc w:val="left"/>
                    <w:rPr>
                      <w:color w:val="auto"/>
                      <w:szCs w:val="21"/>
                    </w:rPr>
                  </w:pPr>
                  <w:r>
                    <w:rPr>
                      <w:color w:val="auto"/>
                      <w:szCs w:val="21"/>
                    </w:rPr>
                    <w:t>）</w:t>
                  </w:r>
                </w:p>
                <w:p>
                  <w:pPr>
                    <w:pStyle w:val="63"/>
                    <w:jc w:val="left"/>
                    <w:rPr>
                      <w:color w:val="auto"/>
                      <w:szCs w:val="21"/>
                    </w:rPr>
                  </w:pPr>
                </w:p>
              </w:tc>
              <w:tc>
                <w:tcPr>
                  <w:tcW w:w="1838" w:type="dxa"/>
                  <w:vAlign w:val="center"/>
                </w:tcPr>
                <w:p>
                  <w:pPr>
                    <w:pStyle w:val="63"/>
                    <w:jc w:val="both"/>
                    <w:rPr>
                      <w:color w:val="auto"/>
                      <w:szCs w:val="21"/>
                    </w:rPr>
                  </w:pPr>
                  <w:r>
                    <w:rPr>
                      <w:color w:val="auto"/>
                      <w:szCs w:val="21"/>
                    </w:rPr>
                    <w:t>本项目为防洪治理工程，不属于工业污染类项目，</w:t>
                  </w:r>
                  <w:r>
                    <w:rPr>
                      <w:color w:val="auto"/>
                    </w:rPr>
                    <w:t>按要求进行环境风险防控</w:t>
                  </w:r>
                  <w:r>
                    <w:rPr>
                      <w:color w:val="auto"/>
                      <w:szCs w:val="21"/>
                    </w:rPr>
                    <w:t>。</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jc w:val="both"/>
                    <w:rPr>
                      <w:color w:val="auto"/>
                      <w:szCs w:val="21"/>
                    </w:rPr>
                  </w:pPr>
                  <w:r>
                    <w:rPr>
                      <w:color w:val="auto"/>
                      <w:szCs w:val="21"/>
                    </w:rPr>
                    <w:t>1、水资源利用总量要求</w:t>
                  </w:r>
                </w:p>
                <w:p>
                  <w:pPr>
                    <w:pStyle w:val="63"/>
                    <w:jc w:val="both"/>
                    <w:rPr>
                      <w:color w:val="auto"/>
                      <w:szCs w:val="21"/>
                    </w:rPr>
                  </w:pPr>
                  <w:r>
                    <w:rPr>
                      <w:color w:val="auto"/>
                      <w:szCs w:val="21"/>
                    </w:rPr>
                    <w:t>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四川省节约用水办法》）</w:t>
                  </w:r>
                </w:p>
                <w:p>
                  <w:pPr>
                    <w:pStyle w:val="63"/>
                    <w:jc w:val="both"/>
                    <w:rPr>
                      <w:color w:val="auto"/>
                      <w:szCs w:val="21"/>
                    </w:rPr>
                  </w:pPr>
                  <w:r>
                    <w:rPr>
                      <w:color w:val="auto"/>
                      <w:szCs w:val="21"/>
                    </w:rPr>
                    <w:t>新建、改建、扩建工业园区应当按照有关要求统筹建设工业废水集中处理和回用设施，推进企业间串联用水、分质用水、一水多用，实现水循环梯级优化利用和废水集中处理回用，创建节水型工业园区。鼓励火力发电、钢铁、纺织、造纸、石化和化工、食品和发酵等高耗水企业对废水进行深度处理回用，降低单位产品耗水量。（《四川省节约用水办法》）</w:t>
                  </w:r>
                </w:p>
                <w:p>
                  <w:pPr>
                    <w:pStyle w:val="63"/>
                    <w:jc w:val="both"/>
                    <w:rPr>
                      <w:color w:val="auto"/>
                      <w:szCs w:val="21"/>
                    </w:rPr>
                  </w:pPr>
                  <w:r>
                    <w:rPr>
                      <w:color w:val="auto"/>
                      <w:szCs w:val="21"/>
                    </w:rPr>
                    <w:t>火电、石化、钢铁、有色、造纸、印染等高耗水行业项目具备使用再生水条件但未有效利用的，要严格控制新增取水许可。（《关于推进污水资源化利用的指导意见》）</w:t>
                  </w:r>
                </w:p>
                <w:p>
                  <w:pPr>
                    <w:pStyle w:val="63"/>
                    <w:jc w:val="both"/>
                    <w:rPr>
                      <w:color w:val="auto"/>
                      <w:szCs w:val="21"/>
                    </w:rPr>
                  </w:pPr>
                </w:p>
                <w:p>
                  <w:pPr>
                    <w:pStyle w:val="63"/>
                    <w:jc w:val="both"/>
                    <w:rPr>
                      <w:color w:val="auto"/>
                      <w:szCs w:val="21"/>
                    </w:rPr>
                  </w:pPr>
                  <w:r>
                    <w:rPr>
                      <w:color w:val="auto"/>
                      <w:szCs w:val="21"/>
                    </w:rPr>
                    <w:t>2、地下水开采要求</w:t>
                  </w:r>
                </w:p>
                <w:p>
                  <w:pPr>
                    <w:pStyle w:val="63"/>
                    <w:jc w:val="both"/>
                    <w:rPr>
                      <w:color w:val="auto"/>
                      <w:szCs w:val="21"/>
                    </w:rPr>
                  </w:pPr>
                  <w:r>
                    <w:rPr>
                      <w:color w:val="auto"/>
                      <w:szCs w:val="21"/>
                    </w:rPr>
                    <w:t>参照现行法律法规执行</w:t>
                  </w:r>
                </w:p>
                <w:p>
                  <w:pPr>
                    <w:pStyle w:val="63"/>
                    <w:jc w:val="both"/>
                    <w:rPr>
                      <w:color w:val="auto"/>
                      <w:szCs w:val="21"/>
                    </w:rPr>
                  </w:pPr>
                </w:p>
                <w:p>
                  <w:pPr>
                    <w:pStyle w:val="63"/>
                    <w:jc w:val="both"/>
                    <w:rPr>
                      <w:color w:val="auto"/>
                      <w:szCs w:val="21"/>
                    </w:rPr>
                  </w:pPr>
                  <w:r>
                    <w:rPr>
                      <w:color w:val="auto"/>
                      <w:szCs w:val="21"/>
                    </w:rPr>
                    <w:t>3、禁燃区要求</w:t>
                  </w:r>
                </w:p>
                <w:p>
                  <w:pPr>
                    <w:pStyle w:val="63"/>
                    <w:jc w:val="both"/>
                    <w:rPr>
                      <w:color w:val="auto"/>
                      <w:szCs w:val="21"/>
                    </w:rPr>
                  </w:pPr>
                  <w:r>
                    <w:rPr>
                      <w:color w:val="auto"/>
                      <w:szCs w:val="21"/>
                    </w:rPr>
                    <w:t>不再新建每小时10蒸吨以下的燃煤锅炉。位于不达标区域的大气环境布局敏感和弱扩散区，禁止燃烧高污染燃料。积极实施煤改电、有序推进煤改气。鼓励工业窑炉煤改电、煤改气或集中供热。（《四川省打赢蓝天保卫战实施方案》</w:t>
                  </w:r>
                </w:p>
                <w:p>
                  <w:pPr>
                    <w:pStyle w:val="63"/>
                    <w:jc w:val="both"/>
                    <w:rPr>
                      <w:color w:val="auto"/>
                      <w:szCs w:val="21"/>
                    </w:rPr>
                  </w:pPr>
                  <w:r>
                    <w:rPr>
                      <w:color w:val="auto"/>
                      <w:szCs w:val="21"/>
                    </w:rPr>
                    <w:t>原则上不再新建每小时35蒸吨以下的燃煤锅炉。位于大气不达标区域的工业单元，除执行超低排放标准的集中供热设施外，禁止新建燃煤及其他高污染燃料设施。积极实施煤改电、有序推进煤改气。鼓励工业窑炉煤改电、煤改气或集中供热。（《四川省打赢蓝天保卫战实施方案》</w:t>
                  </w:r>
                </w:p>
              </w:tc>
              <w:tc>
                <w:tcPr>
                  <w:tcW w:w="1838" w:type="dxa"/>
                  <w:vAlign w:val="center"/>
                </w:tcPr>
                <w:p>
                  <w:pPr>
                    <w:pStyle w:val="63"/>
                    <w:rPr>
                      <w:color w:val="auto"/>
                      <w:szCs w:val="21"/>
                    </w:rPr>
                  </w:pPr>
                  <w:r>
                    <w:rPr>
                      <w:color w:val="auto"/>
                      <w:szCs w:val="21"/>
                    </w:rPr>
                    <w:t>本项目为防洪治理工程，不涉及资源开发利用</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单元名称：四川水磨沟自然保护区、剑门蜀道风景名胜区、朝天区潜溪河龙洞</w:t>
                  </w:r>
                </w:p>
                <w:p>
                  <w:pPr>
                    <w:jc w:val="center"/>
                    <w:rPr>
                      <w:color w:val="auto"/>
                      <w:kern w:val="0"/>
                      <w:szCs w:val="21"/>
                    </w:rPr>
                  </w:pPr>
                  <w:r>
                    <w:rPr>
                      <w:color w:val="auto"/>
                      <w:kern w:val="0"/>
                      <w:szCs w:val="21"/>
                    </w:rPr>
                    <w:t>背、安乐河饮用水源地、嘉</w:t>
                  </w:r>
                </w:p>
                <w:p>
                  <w:pPr>
                    <w:jc w:val="center"/>
                    <w:rPr>
                      <w:color w:val="auto"/>
                      <w:kern w:val="0"/>
                      <w:szCs w:val="21"/>
                    </w:rPr>
                  </w:pPr>
                  <w:r>
                    <w:rPr>
                      <w:color w:val="auto"/>
                      <w:kern w:val="0"/>
                      <w:szCs w:val="21"/>
                    </w:rPr>
                    <w:t>陵江源湿地自然保护区、四</w:t>
                  </w:r>
                </w:p>
                <w:p>
                  <w:pPr>
                    <w:jc w:val="center"/>
                    <w:rPr>
                      <w:color w:val="auto"/>
                      <w:kern w:val="0"/>
                      <w:szCs w:val="21"/>
                    </w:rPr>
                  </w:pPr>
                  <w:r>
                    <w:rPr>
                      <w:color w:val="auto"/>
                      <w:kern w:val="0"/>
                      <w:szCs w:val="21"/>
                    </w:rPr>
                    <w:t>川广元朝天地质公园等单元</w:t>
                  </w:r>
                </w:p>
                <w:p>
                  <w:pPr>
                    <w:jc w:val="center"/>
                    <w:rPr>
                      <w:color w:val="auto"/>
                      <w:kern w:val="0"/>
                      <w:szCs w:val="21"/>
                    </w:rPr>
                  </w:pPr>
                  <w:r>
                    <w:rPr>
                      <w:color w:val="auto"/>
                      <w:kern w:val="0"/>
                      <w:szCs w:val="21"/>
                    </w:rPr>
                    <w:t>编码：ZH51081210001</w:t>
                  </w:r>
                </w:p>
                <w:p>
                  <w:pPr>
                    <w:jc w:val="center"/>
                    <w:rPr>
                      <w:color w:val="auto"/>
                      <w:kern w:val="0"/>
                      <w:szCs w:val="21"/>
                    </w:rPr>
                  </w:pPr>
                  <w:r>
                    <w:rPr>
                      <w:color w:val="auto"/>
                      <w:kern w:val="0"/>
                      <w:szCs w:val="21"/>
                    </w:rPr>
                    <w:t>管控类型：环境综合管控</w:t>
                  </w:r>
                </w:p>
                <w:p>
                  <w:pPr>
                    <w:jc w:val="center"/>
                    <w:rPr>
                      <w:color w:val="auto"/>
                      <w:kern w:val="0"/>
                      <w:szCs w:val="21"/>
                    </w:rPr>
                  </w:pPr>
                  <w:r>
                    <w:rPr>
                      <w:color w:val="auto"/>
                      <w:kern w:val="0"/>
                      <w:szCs w:val="21"/>
                    </w:rPr>
                    <w:t>单元优先保护单元</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jc w:val="left"/>
                    <w:rPr>
                      <w:color w:val="auto"/>
                    </w:rPr>
                  </w:pPr>
                  <w:r>
                    <w:rPr>
                      <w:color w:val="auto"/>
                    </w:rPr>
                    <w:t>1、禁止开发建设活动的要求：</w:t>
                  </w:r>
                </w:p>
                <w:p>
                  <w:pPr>
                    <w:jc w:val="left"/>
                    <w:rPr>
                      <w:color w:val="auto"/>
                    </w:rPr>
                  </w:pPr>
                  <w:r>
                    <w:rPr>
                      <w:color w:val="auto"/>
                    </w:rPr>
                    <w:t>①生态公益林：不得开展生产经营活动，严禁打枝、采脂、割漆、剥树皮、掘根</w:t>
                  </w:r>
                </w:p>
                <w:p>
                  <w:pPr>
                    <w:jc w:val="left"/>
                    <w:rPr>
                      <w:color w:val="auto"/>
                    </w:rPr>
                  </w:pPr>
                  <w:r>
                    <w:rPr>
                      <w:color w:val="auto"/>
                    </w:rPr>
                    <w:t>等行为。</w:t>
                  </w:r>
                </w:p>
                <w:p>
                  <w:pPr>
                    <w:jc w:val="left"/>
                    <w:rPr>
                      <w:color w:val="auto"/>
                    </w:rPr>
                  </w:pPr>
                  <w:r>
                    <w:rPr>
                      <w:color w:val="auto"/>
                    </w:rPr>
                    <w:t>②其他同优先保护单元总体准入要求，即优先保护单元中，生态保护红线原则上按照禁止开发区域的要求进行管理，其中自然保护地核心保护区原则上禁止人为活动，其他区域严格禁止开发性、生产性建设活动，在符合现行法律法规前提下，除国家重大战略项目外，仅允许对生态功能不造成破坏的有限人为活动；一般生态空间按限制开发区域的要求进行管理，原则上不再新建各类开发区和扩大现有工业园区面积，已有的工业开发区要逐步改造成为低能耗、可循环、“零污染”的生态型工业区，鼓励发展“飞地经济”。</w:t>
                  </w:r>
                </w:p>
                <w:p>
                  <w:pPr>
                    <w:jc w:val="left"/>
                    <w:rPr>
                      <w:color w:val="auto"/>
                    </w:rPr>
                  </w:pPr>
                </w:p>
                <w:p>
                  <w:pPr>
                    <w:jc w:val="left"/>
                    <w:rPr>
                      <w:color w:val="auto"/>
                    </w:rPr>
                  </w:pPr>
                  <w:r>
                    <w:rPr>
                      <w:color w:val="auto"/>
                    </w:rPr>
                    <w:t>2、限制开发建设活动的要求：</w:t>
                  </w:r>
                </w:p>
                <w:p>
                  <w:pPr>
                    <w:jc w:val="left"/>
                    <w:rPr>
                      <w:color w:val="auto"/>
                    </w:rPr>
                  </w:pPr>
                  <w:r>
                    <w:rPr>
                      <w:color w:val="auto"/>
                    </w:rPr>
                    <w:t>①生态公益林：严格控制各项建设工程征占国家和省重点公益林、天然林。</w:t>
                  </w:r>
                </w:p>
                <w:p>
                  <w:pPr>
                    <w:jc w:val="left"/>
                    <w:rPr>
                      <w:color w:val="auto"/>
                    </w:rPr>
                  </w:pPr>
                  <w:r>
                    <w:rPr>
                      <w:color w:val="auto"/>
                    </w:rPr>
                    <w:t>②其他同优先保护单元总体准入要求，即优先保护单元中，生态保护红线原则上按照禁止开发区域的要求进行管理，其中自然保护地核心保护区原则上禁止人为活动，其他区域严格禁止开发性、生产性建设活动，在符合现行法律法规前提下，除国家重大战略项目外，仅允许对生态功能不造成破坏的有限人为活动；一般生态空间按限制开发区域的要求进行管理，原则上不再新建各类开发区和扩大现有工业园区面积，已有的工业开发区要逐步改造成为低能耗、可循环、“零污染”的生态型工业区，鼓励发展“飞地经济”</w:t>
                  </w:r>
                </w:p>
                <w:p>
                  <w:pPr>
                    <w:jc w:val="left"/>
                    <w:rPr>
                      <w:color w:val="auto"/>
                    </w:rPr>
                  </w:pPr>
                </w:p>
                <w:p>
                  <w:pPr>
                    <w:jc w:val="left"/>
                    <w:rPr>
                      <w:color w:val="auto"/>
                    </w:rPr>
                  </w:pPr>
                  <w:r>
                    <w:rPr>
                      <w:color w:val="auto"/>
                    </w:rPr>
                    <w:t>3、允许开发建设活动的要求：</w:t>
                  </w:r>
                </w:p>
                <w:p>
                  <w:pPr>
                    <w:jc w:val="left"/>
                    <w:rPr>
                      <w:color w:val="auto"/>
                    </w:rPr>
                  </w:pPr>
                  <w:r>
                    <w:rPr>
                      <w:color w:val="auto"/>
                    </w:rPr>
                    <w:t>同优先保护单元总体准入要求，即优先保护单元中，生态保护红线原则上按照禁止开发区域的要求进行管理，其中自然保护地核心保护区原则上禁止人为活动，其他区域严格禁止开发性、生产性建设活动，在符合现行法律法规前提下，除国家重大战略项目外，仅允许对生态功能不造成破坏的有限人为活动；一般生态空间按限制开发区域的要求进行管理，原则上不再新建各类开发区和扩大现有工业园区面积，已有的工业开发区要逐步改造成为低能耗、可循环、“零污染”的生态型工业区，鼓励发展“飞地经济”。</w:t>
                  </w:r>
                </w:p>
                <w:p>
                  <w:pPr>
                    <w:jc w:val="left"/>
                    <w:rPr>
                      <w:b/>
                      <w:bCs/>
                      <w:color w:val="auto"/>
                    </w:rPr>
                  </w:pPr>
                </w:p>
                <w:p>
                  <w:pPr>
                    <w:jc w:val="left"/>
                    <w:rPr>
                      <w:color w:val="auto"/>
                    </w:rPr>
                  </w:pPr>
                  <w:r>
                    <w:rPr>
                      <w:color w:val="auto"/>
                    </w:rPr>
                    <w:t>4、不符合空间布局要求活动的退出要求：</w:t>
                  </w:r>
                </w:p>
                <w:p>
                  <w:pPr>
                    <w:jc w:val="left"/>
                    <w:rPr>
                      <w:color w:val="auto"/>
                    </w:rPr>
                  </w:pPr>
                  <w:r>
                    <w:rPr>
                      <w:color w:val="auto"/>
                    </w:rPr>
                    <w:t>同优先保护单元总体准入要求，即优先保护单元中，生态保护红线原则上按照禁止开发区域的要求进行管理，其中自然保护地核心保护区原则上禁止人为活动，其他区域严格禁止开发性、生产性建设活动，在符合现行法律法规前提下，除国家重大</w:t>
                  </w:r>
                </w:p>
                <w:p>
                  <w:pPr>
                    <w:jc w:val="left"/>
                    <w:rPr>
                      <w:color w:val="auto"/>
                    </w:rPr>
                  </w:pPr>
                  <w:r>
                    <w:rPr>
                      <w:color w:val="auto"/>
                    </w:rPr>
                    <w:t>战略项目外，仅允许对生态功能不造成破坏的有限人为活动；一般生态空间按限制开发区域的要求进行管理，原则上不再新建各类开发区和扩大现有工业园区面积，已有的工业开发区要逐步改造成为低能耗、可循环、“零污染”的生态型工业区，鼓励发展“飞地经济”。</w:t>
                  </w:r>
                </w:p>
              </w:tc>
              <w:tc>
                <w:tcPr>
                  <w:tcW w:w="1838" w:type="dxa"/>
                  <w:vAlign w:val="center"/>
                </w:tcPr>
                <w:p>
                  <w:pPr>
                    <w:pStyle w:val="63"/>
                    <w:rPr>
                      <w:color w:val="auto"/>
                      <w:szCs w:val="21"/>
                    </w:rPr>
                  </w:pPr>
                  <w:r>
                    <w:rPr>
                      <w:color w:val="auto"/>
                      <w:szCs w:val="21"/>
                    </w:rPr>
                    <w:t>本项目为防洪治理工程项目，不涉及生产经营活动，不属于开发性、生产性建设活动。</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单元名称：生态优先保护区（生态保护红线）7</w:t>
                  </w:r>
                </w:p>
                <w:p>
                  <w:pPr>
                    <w:jc w:val="center"/>
                    <w:rPr>
                      <w:color w:val="auto"/>
                      <w:kern w:val="0"/>
                      <w:szCs w:val="21"/>
                    </w:rPr>
                  </w:pPr>
                  <w:r>
                    <w:rPr>
                      <w:color w:val="auto"/>
                      <w:kern w:val="0"/>
                      <w:szCs w:val="21"/>
                    </w:rPr>
                    <w:t>单元编码：</w:t>
                  </w:r>
                  <w:r>
                    <w:rPr>
                      <w:color w:val="auto"/>
                    </w:rPr>
                    <w:t>YS5108121110001</w:t>
                  </w:r>
                </w:p>
                <w:p>
                  <w:pPr>
                    <w:jc w:val="center"/>
                    <w:rPr>
                      <w:color w:val="auto"/>
                      <w:kern w:val="0"/>
                      <w:szCs w:val="21"/>
                    </w:rPr>
                  </w:pPr>
                  <w:r>
                    <w:rPr>
                      <w:color w:val="auto"/>
                      <w:kern w:val="0"/>
                      <w:szCs w:val="21"/>
                    </w:rPr>
                    <w:t>分区类型：</w:t>
                  </w:r>
                  <w:r>
                    <w:rPr>
                      <w:color w:val="auto"/>
                    </w:rPr>
                    <w:t>生态空间分区生态保护红线</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jc w:val="left"/>
                    <w:rPr>
                      <w:color w:val="auto"/>
                    </w:rPr>
                  </w:pPr>
                  <w:r>
                    <w:rPr>
                      <w:color w:val="auto"/>
                    </w:rPr>
                    <w:t>1、禁止开发建设活动的要求</w:t>
                  </w:r>
                </w:p>
                <w:p>
                  <w:pPr>
                    <w:jc w:val="left"/>
                    <w:rPr>
                      <w:color w:val="auto"/>
                    </w:rPr>
                  </w:pPr>
                  <w:r>
                    <w:rPr>
                      <w:color w:val="auto"/>
                    </w:rPr>
                    <w:t>禁止在红线内建设除国家重大战略资源勘查项目、生态保护修复和环境治理项目、电力等重大基础设施项目、军事国防项目以及农牧民基本生产生活等必要民生项目以外的项目</w:t>
                  </w:r>
                </w:p>
                <w:p>
                  <w:pPr>
                    <w:jc w:val="left"/>
                    <w:rPr>
                      <w:color w:val="auto"/>
                    </w:rPr>
                  </w:pPr>
                </w:p>
                <w:p>
                  <w:pPr>
                    <w:jc w:val="left"/>
                    <w:rPr>
                      <w:color w:val="auto"/>
                    </w:rPr>
                  </w:pPr>
                  <w:r>
                    <w:rPr>
                      <w:color w:val="auto"/>
                    </w:rPr>
                    <w:t>2、限制开发建设活动的要求</w:t>
                  </w:r>
                </w:p>
                <w:p>
                  <w:pPr>
                    <w:jc w:val="left"/>
                    <w:rPr>
                      <w:color w:val="auto"/>
                    </w:rPr>
                  </w:pPr>
                  <w:r>
                    <w:rPr>
                      <w:color w:val="auto"/>
                    </w:rPr>
                    <w:t>红线内已建成的线性基础设施，风电、光伏、水电设施以及水利设施，应严格按照法律法规进行管理、运行和维护，严禁擅自扩大规模</w:t>
                  </w:r>
                </w:p>
                <w:p>
                  <w:pPr>
                    <w:jc w:val="left"/>
                    <w:rPr>
                      <w:color w:val="auto"/>
                    </w:rPr>
                  </w:pPr>
                </w:p>
                <w:p>
                  <w:pPr>
                    <w:jc w:val="left"/>
                    <w:rPr>
                      <w:color w:val="auto"/>
                    </w:rPr>
                  </w:pPr>
                  <w:r>
                    <w:rPr>
                      <w:color w:val="auto"/>
                    </w:rPr>
                    <w:t>3、允许开发建设活动的要求</w:t>
                  </w:r>
                </w:p>
                <w:p>
                  <w:pPr>
                    <w:jc w:val="left"/>
                    <w:rPr>
                      <w:color w:val="auto"/>
                    </w:rPr>
                  </w:pPr>
                  <w:r>
                    <w:rPr>
                      <w:color w:val="auto"/>
                    </w:rPr>
                    <w:t>红线管理办法正式出台前，已经获得批准的风电、光伏、水电等建设项目，在不影响主导生态功能的前提下，可以严格按照主管部门批复的项目选址和规模进行建设，并在工程结束后对造成影响的区域进行生态修复</w:t>
                  </w:r>
                </w:p>
                <w:p>
                  <w:pPr>
                    <w:jc w:val="left"/>
                    <w:rPr>
                      <w:color w:val="auto"/>
                    </w:rPr>
                  </w:pPr>
                </w:p>
                <w:p>
                  <w:pPr>
                    <w:jc w:val="left"/>
                    <w:rPr>
                      <w:color w:val="auto"/>
                    </w:rPr>
                  </w:pPr>
                  <w:r>
                    <w:rPr>
                      <w:color w:val="auto"/>
                    </w:rPr>
                    <w:t>4、不符合空间布局要求活动的退出要求</w:t>
                  </w:r>
                </w:p>
                <w:p>
                  <w:pPr>
                    <w:jc w:val="left"/>
                    <w:rPr>
                      <w:color w:val="auto"/>
                    </w:rPr>
                  </w:pPr>
                  <w:r>
                    <w:rPr>
                      <w:color w:val="auto"/>
                    </w:rPr>
                    <w:t>自然保护区核心区内除省级以上人民政府自然保护区行政主管部门批准的科研活动外的其他活动退出；缓冲区内除自然保护区管理机构批准的非破坏性教学科研活动外的其他活动退出；实验区内与保护区保护方向不一致的参观、旅游项目退出；其他红线区域不符合要求和规划、造成污染或破坏的设施，应限期治理或退出</w:t>
                  </w:r>
                </w:p>
                <w:p>
                  <w:pPr>
                    <w:jc w:val="left"/>
                    <w:rPr>
                      <w:color w:val="auto"/>
                    </w:rPr>
                  </w:pPr>
                </w:p>
                <w:p>
                  <w:pPr>
                    <w:jc w:val="left"/>
                    <w:rPr>
                      <w:color w:val="auto"/>
                    </w:rPr>
                  </w:pPr>
                  <w:r>
                    <w:rPr>
                      <w:color w:val="auto"/>
                    </w:rPr>
                    <w:t>5、其他空间布局约束要求</w:t>
                  </w:r>
                </w:p>
                <w:p>
                  <w:pPr>
                    <w:jc w:val="left"/>
                    <w:rPr>
                      <w:color w:val="auto"/>
                    </w:rPr>
                  </w:pPr>
                  <w:r>
                    <w:rPr>
                      <w:color w:val="auto"/>
                    </w:rPr>
                    <w:t>按现行法律法规执行，参照主体功能区中限制开发区管控</w:t>
                  </w:r>
                </w:p>
              </w:tc>
              <w:tc>
                <w:tcPr>
                  <w:tcW w:w="1838" w:type="dxa"/>
                  <w:vAlign w:val="center"/>
                </w:tcPr>
                <w:p>
                  <w:pPr>
                    <w:pStyle w:val="63"/>
                    <w:rPr>
                      <w:color w:val="auto"/>
                      <w:szCs w:val="21"/>
                    </w:rPr>
                  </w:pPr>
                  <w:r>
                    <w:rPr>
                      <w:color w:val="auto"/>
                      <w:szCs w:val="21"/>
                    </w:rPr>
                    <w:t>本项目部分区域涉及生态保护红线边界，本项目属于防洪治理工程，是必须且无法避让、符合县级以上规划的防洪基础设施建设，属于允许开发建设活动</w:t>
                  </w:r>
                </w:p>
              </w:tc>
              <w:tc>
                <w:tcPr>
                  <w:tcW w:w="808" w:type="dxa"/>
                  <w:vAlign w:val="center"/>
                </w:tcPr>
                <w:p>
                  <w:pPr>
                    <w:jc w:val="center"/>
                    <w:rPr>
                      <w:color w:val="auto"/>
                      <w:kern w:val="0"/>
                      <w:szCs w:val="21"/>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单元名称：</w:t>
                  </w:r>
                  <w:r>
                    <w:rPr>
                      <w:color w:val="auto"/>
                    </w:rPr>
                    <w:t>四川嘉陵江源湿地市级自然保护区-朝天区-优先保护区</w:t>
                  </w:r>
                </w:p>
                <w:p>
                  <w:pPr>
                    <w:jc w:val="center"/>
                    <w:rPr>
                      <w:color w:val="auto"/>
                      <w:kern w:val="0"/>
                      <w:szCs w:val="21"/>
                    </w:rPr>
                  </w:pPr>
                  <w:r>
                    <w:rPr>
                      <w:color w:val="auto"/>
                      <w:kern w:val="0"/>
                      <w:szCs w:val="21"/>
                    </w:rPr>
                    <w:t>单元编码：</w:t>
                  </w:r>
                  <w:r>
                    <w:rPr>
                      <w:color w:val="auto"/>
                    </w:rPr>
                    <w:t>YS5108121210003</w:t>
                  </w:r>
                </w:p>
                <w:p>
                  <w:pPr>
                    <w:jc w:val="center"/>
                    <w:rPr>
                      <w:color w:val="auto"/>
                      <w:kern w:val="0"/>
                      <w:szCs w:val="21"/>
                    </w:rPr>
                  </w:pPr>
                  <w:r>
                    <w:rPr>
                      <w:color w:val="auto"/>
                      <w:kern w:val="0"/>
                      <w:szCs w:val="21"/>
                    </w:rPr>
                    <w:t>分区类型：</w:t>
                  </w:r>
                  <w:r>
                    <w:rPr>
                      <w:color w:val="auto"/>
                    </w:rPr>
                    <w:t>水环境优先保护区</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jc w:val="left"/>
                    <w:rPr>
                      <w:color w:val="auto"/>
                    </w:rPr>
                  </w:pPr>
                  <w:r>
                    <w:rPr>
                      <w:color w:val="auto"/>
                    </w:rPr>
                    <w:t>1、禁止开发建设活动的要求</w:t>
                  </w:r>
                </w:p>
                <w:p>
                  <w:pPr>
                    <w:jc w:val="left"/>
                    <w:rPr>
                      <w:color w:val="auto"/>
                    </w:rPr>
                  </w:pPr>
                  <w:r>
                    <w:rPr>
                      <w:color w:val="auto"/>
                    </w:rPr>
                    <w:t>按照《中华人民共和国水污染防治法》、《长江保护法》、《中华人民共和国自然保护区条例》、《四川省饮用水水源保护管理条例》等法规政策，法律法规明确禁止的生产开发活动一律禁止，禁止建设对水资源、水环境、水生态产生损害的项目，推进区域污染治理，确保水环境质量稳中趋好</w:t>
                  </w:r>
                </w:p>
                <w:p>
                  <w:pPr>
                    <w:jc w:val="left"/>
                    <w:rPr>
                      <w:color w:val="auto"/>
                    </w:rPr>
                  </w:pPr>
                </w:p>
                <w:p>
                  <w:pPr>
                    <w:jc w:val="left"/>
                    <w:rPr>
                      <w:color w:val="auto"/>
                    </w:rPr>
                  </w:pPr>
                  <w:r>
                    <w:rPr>
                      <w:color w:val="auto"/>
                    </w:rPr>
                    <w:t>2、限制开发建设活动的要求</w:t>
                  </w:r>
                </w:p>
                <w:p>
                  <w:pPr>
                    <w:jc w:val="left"/>
                    <w:rPr>
                      <w:color w:val="auto"/>
                    </w:rPr>
                  </w:pPr>
                  <w:r>
                    <w:rPr>
                      <w:color w:val="auto"/>
                    </w:rPr>
                    <w:t>按照《中华人民共和国水污染防治法》、《长江保护法》、《中华人民共和国自然保护区条例》、《四川省饮用水水源保护管理条例》等法规政策，法律无明确规定的，以水环境保护为核心，慎重布局，减少人类活动干扰</w:t>
                  </w:r>
                </w:p>
                <w:p>
                  <w:pPr>
                    <w:jc w:val="left"/>
                    <w:rPr>
                      <w:color w:val="auto"/>
                    </w:rPr>
                  </w:pPr>
                </w:p>
                <w:p>
                  <w:pPr>
                    <w:jc w:val="left"/>
                    <w:rPr>
                      <w:color w:val="auto"/>
                    </w:rPr>
                  </w:pPr>
                  <w:r>
                    <w:rPr>
                      <w:color w:val="auto"/>
                    </w:rPr>
                    <w:t>3、允许开发建设活动的要求</w:t>
                  </w:r>
                </w:p>
                <w:p>
                  <w:pPr>
                    <w:jc w:val="left"/>
                    <w:rPr>
                      <w:color w:val="auto"/>
                    </w:rPr>
                  </w:pPr>
                  <w:r>
                    <w:rPr>
                      <w:color w:val="auto"/>
                    </w:rPr>
                    <w:t>以自然保护区生态环境保护为目的，开展区域污染治理的项目允许布局，确保自然保护区生态环境质量稳中趋好</w:t>
                  </w:r>
                </w:p>
                <w:p>
                  <w:pPr>
                    <w:jc w:val="left"/>
                    <w:rPr>
                      <w:color w:val="auto"/>
                    </w:rPr>
                  </w:pPr>
                </w:p>
                <w:p>
                  <w:pPr>
                    <w:jc w:val="left"/>
                    <w:rPr>
                      <w:color w:val="auto"/>
                    </w:rPr>
                  </w:pPr>
                  <w:r>
                    <w:rPr>
                      <w:color w:val="auto"/>
                    </w:rPr>
                    <w:t>4、不符合空间布局要求活动的退出要求</w:t>
                  </w:r>
                </w:p>
                <w:p>
                  <w:pPr>
                    <w:jc w:val="left"/>
                    <w:rPr>
                      <w:color w:val="auto"/>
                    </w:rPr>
                  </w:pPr>
                  <w:r>
                    <w:rPr>
                      <w:color w:val="auto"/>
                    </w:rPr>
                    <w:t>按照《中华人民共和国水污染防治法》、《四川省饮用水水源保护管理条例》等法规要求，清退不符合空间布局要求活动</w:t>
                  </w:r>
                </w:p>
                <w:p>
                  <w:pPr>
                    <w:jc w:val="left"/>
                    <w:rPr>
                      <w:color w:val="auto"/>
                    </w:rPr>
                  </w:pPr>
                </w:p>
                <w:p>
                  <w:pPr>
                    <w:jc w:val="left"/>
                    <w:rPr>
                      <w:color w:val="auto"/>
                    </w:rPr>
                  </w:pPr>
                  <w:r>
                    <w:rPr>
                      <w:color w:val="auto"/>
                    </w:rPr>
                    <w:t>5、其他空间布局约束要求</w:t>
                  </w:r>
                </w:p>
                <w:p>
                  <w:pPr>
                    <w:jc w:val="left"/>
                    <w:rPr>
                      <w:color w:val="auto"/>
                    </w:rPr>
                  </w:pPr>
                  <w:r>
                    <w:rPr>
                      <w:color w:val="auto"/>
                    </w:rPr>
                    <w:t>禁止运输危险化学品，确实无法避让的强化防护设施及运输管控</w:t>
                  </w:r>
                </w:p>
              </w:tc>
              <w:tc>
                <w:tcPr>
                  <w:tcW w:w="1838" w:type="dxa"/>
                  <w:vAlign w:val="center"/>
                </w:tcPr>
                <w:p>
                  <w:pPr>
                    <w:pStyle w:val="63"/>
                    <w:rPr>
                      <w:color w:val="auto"/>
                      <w:szCs w:val="21"/>
                    </w:rPr>
                  </w:pPr>
                  <w:r>
                    <w:rPr>
                      <w:color w:val="auto"/>
                      <w:szCs w:val="21"/>
                    </w:rPr>
                    <w:t>本项目为防洪治理工程，不属于</w:t>
                  </w:r>
                  <w:r>
                    <w:rPr>
                      <w:bCs w:val="0"/>
                      <w:color w:val="auto"/>
                      <w:szCs w:val="24"/>
                    </w:rPr>
                    <w:t>对水资源、水环境、水生态产生损害的项目，项目的建设有利于水源涵养，项目不涉及饮用水源保护区，不涉及危险化学品运输</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jc w:val="left"/>
                    <w:rPr>
                      <w:color w:val="auto"/>
                    </w:rPr>
                  </w:pPr>
                  <w:r>
                    <w:rPr>
                      <w:color w:val="auto"/>
                    </w:rPr>
                    <w:t>1、城镇污水污染控制措施要求</w:t>
                  </w:r>
                </w:p>
                <w:p>
                  <w:pPr>
                    <w:jc w:val="left"/>
                    <w:rPr>
                      <w:color w:val="auto"/>
                    </w:rPr>
                  </w:pPr>
                  <w:r>
                    <w:rPr>
                      <w:color w:val="auto"/>
                    </w:rPr>
                    <w:t>一、二级保护内城镇生活污水收集至保护区外处理排放或处理后引至保护区外排放，不具备外引条件的通过农田灌溉等方式进行综合利用或排入湿地进行二次处理；准保护区内城镇生活污水需强化治理，稳定达标排放</w:t>
                  </w:r>
                </w:p>
                <w:p>
                  <w:pPr>
                    <w:jc w:val="left"/>
                    <w:rPr>
                      <w:color w:val="auto"/>
                    </w:rPr>
                  </w:pPr>
                </w:p>
                <w:p>
                  <w:pPr>
                    <w:jc w:val="left"/>
                    <w:rPr>
                      <w:color w:val="auto"/>
                    </w:rPr>
                  </w:pPr>
                  <w:r>
                    <w:rPr>
                      <w:color w:val="auto"/>
                    </w:rPr>
                    <w:t>2、工业废水污染控制措施要求</w:t>
                  </w:r>
                </w:p>
                <w:p>
                  <w:pPr>
                    <w:jc w:val="left"/>
                    <w:rPr>
                      <w:color w:val="auto"/>
                    </w:rPr>
                  </w:pPr>
                  <w:r>
                    <w:rPr>
                      <w:color w:val="auto"/>
                    </w:rPr>
                    <w:t>一级保护区内工业企业及二级保护区内排放污染物的工业企业需搬迁或关闭，准保护区内符合法律法规要求的工业企业需按相关规定处理工业废水，实现达标排放</w:t>
                  </w:r>
                </w:p>
                <w:p>
                  <w:pPr>
                    <w:jc w:val="left"/>
                    <w:rPr>
                      <w:color w:val="auto"/>
                    </w:rPr>
                  </w:pPr>
                </w:p>
                <w:p>
                  <w:pPr>
                    <w:jc w:val="left"/>
                    <w:rPr>
                      <w:color w:val="auto"/>
                    </w:rPr>
                  </w:pPr>
                  <w:r>
                    <w:rPr>
                      <w:color w:val="auto"/>
                    </w:rPr>
                    <w:t>3、农业面源水污染控制措施要求</w:t>
                  </w:r>
                </w:p>
                <w:p>
                  <w:pPr>
                    <w:jc w:val="left"/>
                    <w:rPr>
                      <w:color w:val="auto"/>
                    </w:rPr>
                  </w:pPr>
                  <w:r>
                    <w:rPr>
                      <w:color w:val="auto"/>
                    </w:rPr>
                    <w:t>强化农业种植面源防控，一级保护区内农业种植应严格控制农药、化肥等非点源污染，二级保护区内农业种植应实行科学种植和非点源污染防治，准保护内禁止毁林开荒；加强畜禽养殖污染防治，一级保护区内所有经营性的畜禽养殖活动应取缔，二级保护区内排放污染物的规模化畜禽养殖场应拆除或关闭，分散式畜禽养殖应做到养殖废物全部资源化利用，不得向水体指甲倾倒畜禽粪便和排放养殖污水；强化水产养殖污染控制，一级保护区禁止网箱养殖，二级保护区内的网箱养殖、坑塘养殖、水面围网养殖等活动需采取有效措施防止污染水体</w:t>
                  </w:r>
                </w:p>
                <w:p>
                  <w:pPr>
                    <w:jc w:val="left"/>
                    <w:rPr>
                      <w:color w:val="auto"/>
                    </w:rPr>
                  </w:pPr>
                </w:p>
                <w:p>
                  <w:pPr>
                    <w:jc w:val="left"/>
                    <w:rPr>
                      <w:color w:val="auto"/>
                    </w:rPr>
                  </w:pPr>
                  <w:r>
                    <w:rPr>
                      <w:color w:val="auto"/>
                    </w:rPr>
                    <w:t>4、船舶港口水污染控制措施要求</w:t>
                  </w:r>
                </w:p>
                <w:p>
                  <w:pPr>
                    <w:jc w:val="left"/>
                    <w:rPr>
                      <w:color w:val="auto"/>
                    </w:rPr>
                  </w:pPr>
                  <w:r>
                    <w:rPr>
                      <w:color w:val="auto"/>
                    </w:rPr>
                    <w:t>饮用水水源保护区内凡从事危险化学品、煤炭、矿砂、水泥等装卸作业的货运码头应拆除或关闭。一级保护区内旅游、航运、海事等管理部门工作码头应拆除或关闭，二级保护区内的应将污水、垃圾统一手机至保护区外处理排放</w:t>
                  </w:r>
                </w:p>
                <w:p>
                  <w:pPr>
                    <w:jc w:val="left"/>
                    <w:rPr>
                      <w:color w:val="auto"/>
                    </w:rPr>
                  </w:pPr>
                </w:p>
                <w:p>
                  <w:pPr>
                    <w:jc w:val="left"/>
                    <w:rPr>
                      <w:color w:val="auto"/>
                    </w:rPr>
                  </w:pPr>
                  <w:r>
                    <w:rPr>
                      <w:color w:val="auto"/>
                    </w:rPr>
                    <w:t>5、饮用水水源和其它特殊水体保护要求</w:t>
                  </w:r>
                </w:p>
                <w:p>
                  <w:pPr>
                    <w:jc w:val="left"/>
                    <w:rPr>
                      <w:color w:val="auto"/>
                    </w:rPr>
                  </w:pPr>
                  <w:r>
                    <w:rPr>
                      <w:color w:val="auto"/>
                    </w:rPr>
                    <w:t>以自然保护区水质保护为核心，强化其他污染源治理</w:t>
                  </w:r>
                </w:p>
              </w:tc>
              <w:tc>
                <w:tcPr>
                  <w:tcW w:w="1838" w:type="dxa"/>
                  <w:vAlign w:val="center"/>
                </w:tcPr>
                <w:p>
                  <w:pPr>
                    <w:pStyle w:val="63"/>
                    <w:rPr>
                      <w:color w:val="auto"/>
                      <w:szCs w:val="21"/>
                    </w:rPr>
                  </w:pPr>
                  <w:r>
                    <w:rPr>
                      <w:bCs w:val="0"/>
                      <w:color w:val="auto"/>
                      <w:szCs w:val="24"/>
                    </w:rPr>
                    <w:t>本项目不涉及饮用水源保护区，</w:t>
                  </w:r>
                  <w:r>
                    <w:rPr>
                      <w:color w:val="auto"/>
                      <w:szCs w:val="21"/>
                    </w:rPr>
                    <w:t>运营期无废水产生，施工期生产废水经处理后回用不外排，施工期产生的生活污水依托租用居民房屋已建化粪池处理后用于周边农田及林地施肥，不外排。</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jc w:val="left"/>
                    <w:rPr>
                      <w:color w:val="auto"/>
                    </w:rPr>
                  </w:pPr>
                  <w:r>
                    <w:rPr>
                      <w:color w:val="auto"/>
                    </w:rPr>
                    <w:t>对饮用水水源保护区及供水单位周边区域的环境状况和污染风险进行调查评估，筛查可能存在的污染风险因素，并采取相应的风险防范措施。</w:t>
                  </w:r>
                </w:p>
              </w:tc>
              <w:tc>
                <w:tcPr>
                  <w:tcW w:w="1838" w:type="dxa"/>
                  <w:vAlign w:val="center"/>
                </w:tcPr>
                <w:p>
                  <w:pPr>
                    <w:pStyle w:val="63"/>
                    <w:rPr>
                      <w:color w:val="auto"/>
                      <w:szCs w:val="21"/>
                    </w:rPr>
                  </w:pPr>
                  <w:r>
                    <w:rPr>
                      <w:color w:val="auto"/>
                      <w:szCs w:val="21"/>
                    </w:rPr>
                    <w:t>本项目按要求进行环境风防范。</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单元名称：</w:t>
                  </w:r>
                  <w:r>
                    <w:rPr>
                      <w:color w:val="auto"/>
                    </w:rPr>
                    <w:t>重点管控岸线-嘉陵江-城镇及工业开发边界范围</w:t>
                  </w:r>
                </w:p>
                <w:p>
                  <w:pPr>
                    <w:jc w:val="center"/>
                    <w:rPr>
                      <w:color w:val="auto"/>
                      <w:kern w:val="0"/>
                      <w:szCs w:val="21"/>
                    </w:rPr>
                  </w:pPr>
                  <w:r>
                    <w:rPr>
                      <w:color w:val="auto"/>
                      <w:kern w:val="0"/>
                      <w:szCs w:val="21"/>
                    </w:rPr>
                    <w:t>单元编码：</w:t>
                  </w:r>
                  <w:r>
                    <w:rPr>
                      <w:color w:val="auto"/>
                    </w:rPr>
                    <w:t>YS5108122610050</w:t>
                  </w:r>
                </w:p>
                <w:p>
                  <w:pPr>
                    <w:jc w:val="center"/>
                    <w:rPr>
                      <w:color w:val="auto"/>
                      <w:kern w:val="0"/>
                      <w:szCs w:val="21"/>
                    </w:rPr>
                  </w:pPr>
                  <w:r>
                    <w:rPr>
                      <w:color w:val="auto"/>
                      <w:kern w:val="0"/>
                      <w:szCs w:val="21"/>
                    </w:rPr>
                    <w:t>分区类型：</w:t>
                  </w:r>
                  <w:r>
                    <w:rPr>
                      <w:color w:val="auto"/>
                    </w:rPr>
                    <w:t>重点管控岸线</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pStyle w:val="63"/>
                    <w:jc w:val="left"/>
                    <w:rPr>
                      <w:color w:val="auto"/>
                      <w:szCs w:val="24"/>
                    </w:rPr>
                  </w:pPr>
                  <w:r>
                    <w:rPr>
                      <w:bCs w:val="0"/>
                      <w:color w:val="auto"/>
                      <w:kern w:val="2"/>
                      <w:szCs w:val="24"/>
                    </w:rPr>
                    <w:t>应符合依法批准的省域城镇体系规划和城市总体规划，须统筹协调与流域综合规划，防洪规划，取水口、排污口及应急水源地布局规划，航运发展规划，港口规划等相关规划的关系，充分考虑与附近已有涉水工程间的相互影响，合理布局，按照“深水深用、浅水浅用”、“节约、集约利用”的原则，提高岸线资源利用效率，充分发挥岸线资源的综合效益。</w:t>
                  </w:r>
                </w:p>
              </w:tc>
              <w:tc>
                <w:tcPr>
                  <w:tcW w:w="1838" w:type="dxa"/>
                  <w:vAlign w:val="center"/>
                </w:tcPr>
                <w:p>
                  <w:pPr>
                    <w:pStyle w:val="63"/>
                    <w:rPr>
                      <w:color w:val="auto"/>
                      <w:szCs w:val="21"/>
                    </w:rPr>
                  </w:pPr>
                  <w:r>
                    <w:rPr>
                      <w:color w:val="auto"/>
                      <w:szCs w:val="21"/>
                    </w:rPr>
                    <w:t>本项目为防洪治理工程，在四川省“十四五”中小河流治理项目清单内，符合《四川省“十四五”水安全保障规划》</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单元名称：</w:t>
                  </w:r>
                  <w:r>
                    <w:rPr>
                      <w:color w:val="auto"/>
                    </w:rPr>
                    <w:t>朝天区大气环境布局敏感重点管控区</w:t>
                  </w:r>
                </w:p>
                <w:p>
                  <w:pPr>
                    <w:jc w:val="center"/>
                    <w:rPr>
                      <w:color w:val="auto"/>
                      <w:kern w:val="0"/>
                      <w:szCs w:val="21"/>
                    </w:rPr>
                  </w:pPr>
                  <w:r>
                    <w:rPr>
                      <w:color w:val="auto"/>
                      <w:kern w:val="0"/>
                      <w:szCs w:val="21"/>
                    </w:rPr>
                    <w:t>单元编码：</w:t>
                  </w:r>
                  <w:r>
                    <w:rPr>
                      <w:color w:val="auto"/>
                    </w:rPr>
                    <w:t>YS5108122320001</w:t>
                  </w:r>
                </w:p>
                <w:p>
                  <w:pPr>
                    <w:jc w:val="center"/>
                    <w:rPr>
                      <w:color w:val="auto"/>
                      <w:kern w:val="0"/>
                      <w:szCs w:val="21"/>
                    </w:rPr>
                  </w:pPr>
                  <w:r>
                    <w:rPr>
                      <w:color w:val="auto"/>
                      <w:kern w:val="0"/>
                      <w:szCs w:val="21"/>
                    </w:rPr>
                    <w:t>分区类型：</w:t>
                  </w:r>
                  <w:r>
                    <w:rPr>
                      <w:color w:val="auto"/>
                    </w:rPr>
                    <w:t>大气环境布局敏感重点管控区</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jc w:val="left"/>
                    <w:rPr>
                      <w:color w:val="auto"/>
                    </w:rPr>
                  </w:pPr>
                  <w:r>
                    <w:rPr>
                      <w:color w:val="auto"/>
                    </w:rPr>
                    <w:t>1、大气环境质量执行标准</w:t>
                  </w:r>
                </w:p>
                <w:p>
                  <w:pPr>
                    <w:jc w:val="left"/>
                    <w:rPr>
                      <w:color w:val="auto"/>
                    </w:rPr>
                  </w:pPr>
                  <w:r>
                    <w:rPr>
                      <w:color w:val="auto"/>
                    </w:rPr>
                    <w:t>《环境空气质量标准》（GB3095-2012）：二级</w:t>
                  </w:r>
                </w:p>
                <w:p>
                  <w:pPr>
                    <w:jc w:val="left"/>
                    <w:rPr>
                      <w:color w:val="auto"/>
                    </w:rPr>
                  </w:pPr>
                </w:p>
                <w:p>
                  <w:pPr>
                    <w:jc w:val="left"/>
                    <w:rPr>
                      <w:color w:val="auto"/>
                    </w:rPr>
                  </w:pPr>
                  <w:r>
                    <w:rPr>
                      <w:color w:val="auto"/>
                    </w:rPr>
                    <w:t>2、区域大气污染物削减/替代要求</w:t>
                  </w:r>
                </w:p>
                <w:p>
                  <w:pPr>
                    <w:jc w:val="left"/>
                    <w:rPr>
                      <w:color w:val="auto"/>
                    </w:rPr>
                  </w:pPr>
                  <w:r>
                    <w:rPr>
                      <w:color w:val="auto"/>
                    </w:rPr>
                    <w:t>新增大气污染物排放的建设项目实施总量削减替代。</w:t>
                  </w:r>
                </w:p>
                <w:p>
                  <w:pPr>
                    <w:jc w:val="left"/>
                    <w:rPr>
                      <w:color w:val="auto"/>
                    </w:rPr>
                  </w:pPr>
                </w:p>
                <w:p>
                  <w:pPr>
                    <w:jc w:val="left"/>
                    <w:rPr>
                      <w:color w:val="auto"/>
                    </w:rPr>
                  </w:pPr>
                  <w:r>
                    <w:rPr>
                      <w:color w:val="auto"/>
                    </w:rPr>
                    <w:t>3、燃煤和其他能源大气污染控制要求</w:t>
                  </w:r>
                </w:p>
                <w:p>
                  <w:pPr>
                    <w:jc w:val="left"/>
                    <w:rPr>
                      <w:color w:val="auto"/>
                    </w:rPr>
                  </w:pPr>
                  <w:r>
                    <w:rPr>
                      <w:color w:val="auto"/>
                    </w:rPr>
                    <w:t>优化能源结构，持续减少工业煤炭消费，提高能源利用效率。</w:t>
                  </w:r>
                </w:p>
                <w:p>
                  <w:pPr>
                    <w:jc w:val="left"/>
                    <w:rPr>
                      <w:color w:val="auto"/>
                    </w:rPr>
                  </w:pPr>
                </w:p>
                <w:p>
                  <w:pPr>
                    <w:jc w:val="left"/>
                    <w:rPr>
                      <w:color w:val="auto"/>
                    </w:rPr>
                  </w:pPr>
                  <w:r>
                    <w:rPr>
                      <w:color w:val="auto"/>
                    </w:rPr>
                    <w:t>4、其他大气污染物排放管控要求</w:t>
                  </w:r>
                </w:p>
                <w:p>
                  <w:pPr>
                    <w:jc w:val="left"/>
                    <w:rPr>
                      <w:color w:val="auto"/>
                    </w:rPr>
                  </w:pPr>
                  <w:r>
                    <w:rPr>
                      <w:color w:val="auto"/>
                    </w:rPr>
                    <w:t>严格落实《产业结构调整指导目录（2019年本）》要求，禁止新建不符合国家产业政策和行业准入条件的高污染项目，严格执行产能置换有关要求，严格控制化工、水泥、砖瓦等高污染、高耗能项目建设，加快淘汰落后产能和工艺。强化镇村工业集聚区环境管理，逐步引导涉气污染企业入驻工业集聚区。严格落实污染物排放总量控制要求，对新建排放二氧化硫、氮氧化物和挥发性有机物的项目实施现役源2倍量替代。加强对现有污染源的大气污染管控。</w:t>
                  </w:r>
                </w:p>
              </w:tc>
              <w:tc>
                <w:tcPr>
                  <w:tcW w:w="1838" w:type="dxa"/>
                  <w:vAlign w:val="center"/>
                </w:tcPr>
                <w:p>
                  <w:pPr>
                    <w:pStyle w:val="63"/>
                    <w:rPr>
                      <w:color w:val="auto"/>
                      <w:szCs w:val="21"/>
                    </w:rPr>
                  </w:pPr>
                  <w:r>
                    <w:rPr>
                      <w:color w:val="auto"/>
                      <w:szCs w:val="21"/>
                    </w:rPr>
                    <w:t>本项目大气环境质量标准执行《环境空气质量标准》（GB3095-2012）二级，施工期落实各污染防治措施后满足污染物排放管控要求。</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单元名称：</w:t>
                  </w:r>
                  <w:r>
                    <w:rPr>
                      <w:color w:val="auto"/>
                    </w:rPr>
                    <w:t>朝天区生态保护红线集中区1</w:t>
                  </w:r>
                </w:p>
                <w:p>
                  <w:pPr>
                    <w:jc w:val="center"/>
                    <w:rPr>
                      <w:color w:val="auto"/>
                      <w:kern w:val="0"/>
                      <w:szCs w:val="21"/>
                    </w:rPr>
                  </w:pPr>
                  <w:r>
                    <w:rPr>
                      <w:color w:val="auto"/>
                      <w:kern w:val="0"/>
                      <w:szCs w:val="21"/>
                    </w:rPr>
                    <w:t>单元编码：</w:t>
                  </w:r>
                  <w:r>
                    <w:rPr>
                      <w:color w:val="auto"/>
                    </w:rPr>
                    <w:t>YS5108122530001</w:t>
                  </w:r>
                </w:p>
                <w:p>
                  <w:pPr>
                    <w:jc w:val="center"/>
                    <w:rPr>
                      <w:color w:val="auto"/>
                      <w:kern w:val="0"/>
                      <w:szCs w:val="21"/>
                    </w:rPr>
                  </w:pPr>
                  <w:r>
                    <w:rPr>
                      <w:color w:val="auto"/>
                      <w:kern w:val="0"/>
                      <w:szCs w:val="21"/>
                    </w:rPr>
                    <w:t>分区类型：</w:t>
                  </w:r>
                  <w:r>
                    <w:rPr>
                      <w:color w:val="auto"/>
                    </w:rPr>
                    <w:t>土地资源重点管控区</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pStyle w:val="63"/>
                    <w:jc w:val="left"/>
                    <w:rPr>
                      <w:color w:val="auto"/>
                      <w:szCs w:val="24"/>
                    </w:rPr>
                  </w:pPr>
                  <w:r>
                    <w:rPr>
                      <w:color w:val="auto"/>
                      <w:kern w:val="2"/>
                      <w:szCs w:val="21"/>
                    </w:rPr>
                    <w:t>按照严格保护、严禁开发、严控建设、严抓管理的原则实行空间管制，原则上按照禁止开发区域进行管理</w:t>
                  </w:r>
                </w:p>
              </w:tc>
              <w:tc>
                <w:tcPr>
                  <w:tcW w:w="1838" w:type="dxa"/>
                  <w:vAlign w:val="center"/>
                </w:tcPr>
                <w:p>
                  <w:pPr>
                    <w:pStyle w:val="63"/>
                    <w:rPr>
                      <w:color w:val="auto"/>
                      <w:szCs w:val="21"/>
                    </w:rPr>
                  </w:pPr>
                  <w:r>
                    <w:rPr>
                      <w:color w:val="auto"/>
                      <w:szCs w:val="21"/>
                    </w:rPr>
                    <w:t>本项目部分区域涉及生态保护红线边界，本项目属于防洪治理工程，是必须且无法避让、符合县级以上规划的防洪基础设施建设，属于允许开发建设活动</w:t>
                  </w:r>
                </w:p>
              </w:tc>
              <w:tc>
                <w:tcPr>
                  <w:tcW w:w="808" w:type="dxa"/>
                  <w:vAlign w:val="center"/>
                </w:tcPr>
                <w:p>
                  <w:pPr>
                    <w:jc w:val="center"/>
                    <w:rPr>
                      <w:color w:val="auto"/>
                      <w:kern w:val="0"/>
                      <w:szCs w:val="21"/>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rPr>
                  </w:pPr>
                  <w:r>
                    <w:rPr>
                      <w:color w:val="auto"/>
                    </w:rPr>
                    <w:t>资源利用开发效率</w:t>
                  </w:r>
                </w:p>
              </w:tc>
              <w:tc>
                <w:tcPr>
                  <w:tcW w:w="8119" w:type="dxa"/>
                  <w:vAlign w:val="center"/>
                </w:tcPr>
                <w:p>
                  <w:pPr>
                    <w:jc w:val="left"/>
                    <w:rPr>
                      <w:color w:val="auto"/>
                    </w:rPr>
                  </w:pPr>
                  <w:r>
                    <w:rPr>
                      <w:color w:val="auto"/>
                    </w:rPr>
                    <w:t>土地资源开发效率要求</w:t>
                  </w:r>
                </w:p>
                <w:p>
                  <w:pPr>
                    <w:jc w:val="left"/>
                    <w:rPr>
                      <w:color w:val="auto"/>
                    </w:rPr>
                  </w:pPr>
                  <w:r>
                    <w:rPr>
                      <w:color w:val="auto"/>
                    </w:rPr>
                    <w:t>土地资源开发利用量不得超过土地资源利用上线控制性指标</w:t>
                  </w:r>
                </w:p>
              </w:tc>
              <w:tc>
                <w:tcPr>
                  <w:tcW w:w="1838" w:type="dxa"/>
                  <w:vAlign w:val="center"/>
                </w:tcPr>
                <w:p>
                  <w:pPr>
                    <w:pStyle w:val="63"/>
                    <w:rPr>
                      <w:color w:val="auto"/>
                      <w:szCs w:val="21"/>
                    </w:rPr>
                  </w:pPr>
                  <w:r>
                    <w:rPr>
                      <w:color w:val="auto"/>
                      <w:szCs w:val="21"/>
                    </w:rPr>
                    <w:t>本项目为防洪治理工程，不涉及资源开发利用</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kern w:val="0"/>
                      <w:szCs w:val="21"/>
                    </w:rPr>
                  </w:pPr>
                  <w:r>
                    <w:rPr>
                      <w:color w:val="auto"/>
                      <w:kern w:val="0"/>
                      <w:szCs w:val="21"/>
                    </w:rPr>
                    <w:t>单元名称：元西村-朝天区-管控单元</w:t>
                  </w:r>
                </w:p>
                <w:p>
                  <w:pPr>
                    <w:jc w:val="center"/>
                    <w:rPr>
                      <w:color w:val="auto"/>
                      <w:kern w:val="0"/>
                      <w:szCs w:val="21"/>
                    </w:rPr>
                  </w:pPr>
                  <w:r>
                    <w:rPr>
                      <w:color w:val="auto"/>
                      <w:kern w:val="0"/>
                      <w:szCs w:val="21"/>
                    </w:rPr>
                    <w:t>单元编码：YS5108123210001</w:t>
                  </w:r>
                </w:p>
                <w:p>
                  <w:pPr>
                    <w:jc w:val="center"/>
                    <w:rPr>
                      <w:color w:val="auto"/>
                      <w:kern w:val="0"/>
                      <w:szCs w:val="21"/>
                    </w:rPr>
                  </w:pPr>
                  <w:r>
                    <w:rPr>
                      <w:color w:val="auto"/>
                      <w:kern w:val="0"/>
                      <w:szCs w:val="21"/>
                    </w:rPr>
                    <w:t>分区类型：水环境一般管控区</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jc w:val="left"/>
                    <w:rPr>
                      <w:color w:val="auto"/>
                    </w:rPr>
                  </w:pPr>
                  <w:r>
                    <w:rPr>
                      <w:color w:val="auto"/>
                    </w:rPr>
                    <w:t>城镇污水污染控制措施要求：</w:t>
                  </w:r>
                </w:p>
                <w:p>
                  <w:pPr>
                    <w:jc w:val="left"/>
                    <w:rPr>
                      <w:color w:val="auto"/>
                    </w:rPr>
                  </w:pPr>
                  <w:r>
                    <w:rPr>
                      <w:color w:val="auto"/>
                    </w:rPr>
                    <w:t>落实《水污染防治行动计划》《长江经济带生态环境保护规划》等文件中关于城镇污水污染控制要求，提高污水处理能力及处理效率。</w:t>
                  </w:r>
                </w:p>
                <w:p>
                  <w:pPr>
                    <w:jc w:val="left"/>
                    <w:rPr>
                      <w:color w:val="auto"/>
                    </w:rPr>
                  </w:pPr>
                  <w:r>
                    <w:rPr>
                      <w:color w:val="auto"/>
                    </w:rPr>
                    <w:t>工业废水污染控制措施要求：</w:t>
                  </w:r>
                </w:p>
                <w:p>
                  <w:pPr>
                    <w:jc w:val="left"/>
                    <w:rPr>
                      <w:color w:val="auto"/>
                    </w:rPr>
                  </w:pPr>
                  <w:r>
                    <w:rPr>
                      <w:color w:val="auto"/>
                    </w:rPr>
                    <w:t>落实《水污染防治行动计划》《长江经济带生态环境保护规划》等文件中关于工业废水污染控制要求，确保达标排放。</w:t>
                  </w:r>
                </w:p>
                <w:p>
                  <w:pPr>
                    <w:jc w:val="left"/>
                    <w:rPr>
                      <w:color w:val="auto"/>
                    </w:rPr>
                  </w:pPr>
                  <w:r>
                    <w:rPr>
                      <w:color w:val="auto"/>
                    </w:rPr>
                    <w:t>农业面源水污染控制措施要求：</w:t>
                  </w:r>
                </w:p>
                <w:p>
                  <w:pPr>
                    <w:jc w:val="left"/>
                    <w:rPr>
                      <w:color w:val="auto"/>
                    </w:rPr>
                  </w:pPr>
                  <w:r>
                    <w:rPr>
                      <w:color w:val="auto"/>
                    </w:rPr>
                    <w:t>落实《水污染防治行动计划》《长江经济带生态环境保护规划》等文件中关于农业面源水污染控制要求</w:t>
                  </w:r>
                </w:p>
              </w:tc>
              <w:tc>
                <w:tcPr>
                  <w:tcW w:w="1838" w:type="dxa"/>
                  <w:vAlign w:val="center"/>
                </w:tcPr>
                <w:p>
                  <w:pPr>
                    <w:pStyle w:val="63"/>
                    <w:rPr>
                      <w:color w:val="auto"/>
                      <w:szCs w:val="21"/>
                    </w:rPr>
                  </w:pPr>
                  <w:r>
                    <w:rPr>
                      <w:color w:val="auto"/>
                      <w:szCs w:val="21"/>
                    </w:rPr>
                    <w:t>本项目为防洪治理项目，运营期无废水产生，施工期生产废水经处理后回用不外排，施工期产生的生活污水依托租用居民房屋已建化粪池处理后用于周边农田及林地施肥，不外排。</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jc w:val="left"/>
                    <w:rPr>
                      <w:color w:val="auto"/>
                    </w:rPr>
                  </w:pPr>
                  <w:r>
                    <w:rPr>
                      <w:color w:val="auto"/>
                    </w:rPr>
                    <w:t>加强环境风险防范，坚持预防为主，构建以企业为主体的环境风险防控体系，优化产业布局，加强协调联动，提升应急救援能力；严格环境风险源头防控，加强涉重金属、危险废物、危化品等重点企业环境风险评估；强化工业、企业集中分布区环境风险管控，建设相应的防护工程。</w:t>
                  </w:r>
                </w:p>
              </w:tc>
              <w:tc>
                <w:tcPr>
                  <w:tcW w:w="1838" w:type="dxa"/>
                  <w:vAlign w:val="center"/>
                </w:tcPr>
                <w:p>
                  <w:pPr>
                    <w:pStyle w:val="63"/>
                    <w:rPr>
                      <w:color w:val="auto"/>
                      <w:szCs w:val="21"/>
                    </w:rPr>
                  </w:pPr>
                  <w:r>
                    <w:rPr>
                      <w:color w:val="auto"/>
                      <w:szCs w:val="21"/>
                    </w:rPr>
                    <w:t>本项目按要求进行环境风防范。</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rPr>
                  </w:pPr>
                  <w:r>
                    <w:rPr>
                      <w:color w:val="auto"/>
                      <w:kern w:val="0"/>
                      <w:szCs w:val="21"/>
                    </w:rPr>
                    <w:t>单元名称：</w:t>
                  </w:r>
                  <w:r>
                    <w:rPr>
                      <w:color w:val="auto"/>
                    </w:rPr>
                    <w:t>朝天区要素重点管控单元</w:t>
                  </w:r>
                </w:p>
                <w:p>
                  <w:pPr>
                    <w:jc w:val="center"/>
                    <w:rPr>
                      <w:color w:val="auto"/>
                      <w:kern w:val="0"/>
                      <w:szCs w:val="21"/>
                    </w:rPr>
                  </w:pPr>
                  <w:r>
                    <w:rPr>
                      <w:color w:val="auto"/>
                      <w:kern w:val="0"/>
                      <w:szCs w:val="21"/>
                    </w:rPr>
                    <w:t>单元编码：</w:t>
                  </w:r>
                </w:p>
                <w:p>
                  <w:pPr>
                    <w:jc w:val="center"/>
                    <w:rPr>
                      <w:color w:val="auto"/>
                    </w:rPr>
                  </w:pPr>
                  <w:r>
                    <w:rPr>
                      <w:color w:val="auto"/>
                    </w:rPr>
                    <w:t>ZH51081220004</w:t>
                  </w:r>
                </w:p>
                <w:p>
                  <w:pPr>
                    <w:jc w:val="center"/>
                    <w:rPr>
                      <w:color w:val="auto"/>
                      <w:kern w:val="0"/>
                      <w:szCs w:val="21"/>
                    </w:rPr>
                  </w:pPr>
                  <w:r>
                    <w:rPr>
                      <w:color w:val="auto"/>
                      <w:kern w:val="0"/>
                      <w:szCs w:val="21"/>
                    </w:rPr>
                    <w:t>分区类型：</w:t>
                  </w:r>
                  <w:r>
                    <w:rPr>
                      <w:color w:val="auto"/>
                    </w:rPr>
                    <w:t>环境综合管控单元要素重点管控单元</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jc w:val="left"/>
                    <w:rPr>
                      <w:color w:val="auto"/>
                    </w:rPr>
                  </w:pPr>
                  <w:r>
                    <w:rPr>
                      <w:color w:val="auto"/>
                    </w:rPr>
                    <w:t>1、禁止开发建设活动的要求</w:t>
                  </w:r>
                </w:p>
                <w:p>
                  <w:pPr>
                    <w:jc w:val="left"/>
                    <w:rPr>
                      <w:color w:val="auto"/>
                    </w:rPr>
                  </w:pPr>
                  <w:r>
                    <w:rPr>
                      <w:color w:val="auto"/>
                    </w:rPr>
                    <w:t>同环境要素综合重点管控单元总体准入要求</w:t>
                  </w:r>
                </w:p>
                <w:p>
                  <w:pPr>
                    <w:jc w:val="left"/>
                    <w:rPr>
                      <w:color w:val="auto"/>
                    </w:rPr>
                  </w:pPr>
                </w:p>
                <w:p>
                  <w:pPr>
                    <w:jc w:val="left"/>
                    <w:rPr>
                      <w:color w:val="auto"/>
                    </w:rPr>
                  </w:pPr>
                  <w:r>
                    <w:rPr>
                      <w:color w:val="auto"/>
                    </w:rPr>
                    <w:t>2、限制开发建设活动的要求</w:t>
                  </w:r>
                </w:p>
                <w:p>
                  <w:pPr>
                    <w:jc w:val="left"/>
                    <w:rPr>
                      <w:color w:val="auto"/>
                    </w:rPr>
                  </w:pPr>
                  <w:r>
                    <w:rPr>
                      <w:color w:val="auto"/>
                    </w:rPr>
                    <w:t>大气布局敏感重点管控区、大气弱扩散重点管控区，严格项目引入政策，严控新建水泥厂、危废焚烧、砖瓦厂、陶瓷厂等以大气污染为主的企业其他同环境要素综合重点管控单元总体准入要求</w:t>
                  </w:r>
                </w:p>
                <w:p>
                  <w:pPr>
                    <w:jc w:val="left"/>
                    <w:rPr>
                      <w:color w:val="auto"/>
                    </w:rPr>
                  </w:pPr>
                </w:p>
                <w:p>
                  <w:pPr>
                    <w:jc w:val="left"/>
                    <w:rPr>
                      <w:color w:val="auto"/>
                    </w:rPr>
                  </w:pPr>
                  <w:r>
                    <w:rPr>
                      <w:color w:val="auto"/>
                    </w:rPr>
                    <w:t>3、允许开发建设活动的要求</w:t>
                  </w:r>
                </w:p>
                <w:p>
                  <w:pPr>
                    <w:jc w:val="left"/>
                    <w:rPr>
                      <w:color w:val="auto"/>
                    </w:rPr>
                  </w:pPr>
                  <w:r>
                    <w:rPr>
                      <w:color w:val="auto"/>
                    </w:rPr>
                    <w:t>同环境要素综合重点管控单元总体准入要求</w:t>
                  </w:r>
                </w:p>
                <w:p>
                  <w:pPr>
                    <w:jc w:val="left"/>
                    <w:rPr>
                      <w:color w:val="auto"/>
                    </w:rPr>
                  </w:pPr>
                </w:p>
                <w:p>
                  <w:pPr>
                    <w:jc w:val="left"/>
                    <w:rPr>
                      <w:color w:val="auto"/>
                    </w:rPr>
                  </w:pPr>
                  <w:r>
                    <w:rPr>
                      <w:color w:val="auto"/>
                    </w:rPr>
                    <w:t>4、不符合空间布局要求活动的退出要求</w:t>
                  </w:r>
                </w:p>
                <w:p>
                  <w:pPr>
                    <w:jc w:val="left"/>
                    <w:rPr>
                      <w:color w:val="auto"/>
                    </w:rPr>
                  </w:pPr>
                  <w:r>
                    <w:rPr>
                      <w:color w:val="auto"/>
                    </w:rPr>
                    <w:t>同环境要素综合重点管控单元总体准入要求</w:t>
                  </w:r>
                </w:p>
              </w:tc>
              <w:tc>
                <w:tcPr>
                  <w:tcW w:w="1838" w:type="dxa"/>
                  <w:vAlign w:val="center"/>
                </w:tcPr>
                <w:p>
                  <w:pPr>
                    <w:pStyle w:val="63"/>
                    <w:rPr>
                      <w:color w:val="auto"/>
                      <w:szCs w:val="21"/>
                    </w:rPr>
                  </w:pPr>
                  <w:r>
                    <w:rPr>
                      <w:color w:val="auto"/>
                      <w:szCs w:val="21"/>
                    </w:rPr>
                    <w:t>本项目为防洪治理工程，不属于新建水泥厂、危废焚烧、砖瓦厂、陶瓷厂等以大气污染为主的企业</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jc w:val="left"/>
                    <w:rPr>
                      <w:color w:val="auto"/>
                    </w:rPr>
                  </w:pPr>
                  <w:r>
                    <w:rPr>
                      <w:color w:val="auto"/>
                    </w:rPr>
                    <w:t>现有源提标升级改造：</w:t>
                  </w:r>
                </w:p>
                <w:p>
                  <w:pPr>
                    <w:jc w:val="left"/>
                    <w:rPr>
                      <w:color w:val="auto"/>
                    </w:rPr>
                  </w:pPr>
                  <w:r>
                    <w:rPr>
                      <w:color w:val="auto"/>
                    </w:rPr>
                    <w:t>新增源等量或倍量替代</w:t>
                  </w:r>
                </w:p>
              </w:tc>
              <w:tc>
                <w:tcPr>
                  <w:tcW w:w="1838" w:type="dxa"/>
                  <w:vAlign w:val="center"/>
                </w:tcPr>
                <w:p>
                  <w:pPr>
                    <w:pStyle w:val="63"/>
                    <w:rPr>
                      <w:color w:val="auto"/>
                      <w:szCs w:val="21"/>
                    </w:rPr>
                  </w:pPr>
                  <w:r>
                    <w:rPr>
                      <w:color w:val="auto"/>
                      <w:szCs w:val="21"/>
                    </w:rPr>
                    <w:t>本项目施工期落实各污染防治措施后满足污染物排放管控要求。</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jc w:val="left"/>
                    <w:rPr>
                      <w:color w:val="auto"/>
                    </w:rPr>
                  </w:pPr>
                  <w:r>
                    <w:rPr>
                      <w:color w:val="auto"/>
                    </w:rPr>
                    <w:t>1、严格管控类农用地管控要求</w:t>
                  </w:r>
                </w:p>
                <w:p>
                  <w:pPr>
                    <w:jc w:val="left"/>
                    <w:rPr>
                      <w:color w:val="auto"/>
                    </w:rPr>
                  </w:pPr>
                  <w:r>
                    <w:rPr>
                      <w:color w:val="auto"/>
                    </w:rPr>
                    <w:t>同广元市要素重点单元总体准入要求。</w:t>
                  </w:r>
                </w:p>
                <w:p>
                  <w:pPr>
                    <w:jc w:val="left"/>
                    <w:rPr>
                      <w:color w:val="auto"/>
                    </w:rPr>
                  </w:pPr>
                </w:p>
                <w:p>
                  <w:pPr>
                    <w:jc w:val="left"/>
                    <w:rPr>
                      <w:color w:val="auto"/>
                    </w:rPr>
                  </w:pPr>
                  <w:r>
                    <w:rPr>
                      <w:color w:val="auto"/>
                    </w:rPr>
                    <w:t>2、企业环境风险防控要求</w:t>
                  </w:r>
                </w:p>
                <w:p>
                  <w:pPr>
                    <w:jc w:val="left"/>
                    <w:rPr>
                      <w:color w:val="auto"/>
                    </w:rPr>
                  </w:pPr>
                  <w:r>
                    <w:rPr>
                      <w:color w:val="auto"/>
                    </w:rPr>
                    <w:t>同环境要素综合重点管控单元总体准入要求</w:t>
                  </w:r>
                </w:p>
                <w:p>
                  <w:pPr>
                    <w:jc w:val="left"/>
                    <w:rPr>
                      <w:color w:val="auto"/>
                    </w:rPr>
                  </w:pPr>
                </w:p>
                <w:p>
                  <w:pPr>
                    <w:jc w:val="left"/>
                    <w:rPr>
                      <w:color w:val="auto"/>
                    </w:rPr>
                  </w:pPr>
                  <w:r>
                    <w:rPr>
                      <w:color w:val="auto"/>
                    </w:rPr>
                    <w:t>3、其他环境风险防控要求</w:t>
                  </w:r>
                </w:p>
                <w:p>
                  <w:pPr>
                    <w:jc w:val="left"/>
                    <w:rPr>
                      <w:color w:val="auto"/>
                    </w:rPr>
                  </w:pPr>
                  <w:r>
                    <w:rPr>
                      <w:color w:val="auto"/>
                    </w:rPr>
                    <w:t>同环境要素综合重点管控单元总体准入要求</w:t>
                  </w:r>
                </w:p>
              </w:tc>
              <w:tc>
                <w:tcPr>
                  <w:tcW w:w="1838" w:type="dxa"/>
                  <w:vAlign w:val="center"/>
                </w:tcPr>
                <w:p>
                  <w:pPr>
                    <w:pStyle w:val="63"/>
                    <w:rPr>
                      <w:color w:val="auto"/>
                      <w:szCs w:val="21"/>
                    </w:rPr>
                  </w:pPr>
                  <w:r>
                    <w:rPr>
                      <w:color w:val="auto"/>
                      <w:szCs w:val="21"/>
                    </w:rPr>
                    <w:t>本项目按要求进行环境风防范。</w:t>
                  </w:r>
                </w:p>
              </w:tc>
              <w:tc>
                <w:tcPr>
                  <w:tcW w:w="808" w:type="dxa"/>
                  <w:vAlign w:val="center"/>
                </w:tcPr>
                <w:p>
                  <w:pPr>
                    <w:jc w:val="center"/>
                    <w:rPr>
                      <w:b/>
                      <w:bCs/>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jc w:val="left"/>
                    <w:rPr>
                      <w:color w:val="auto"/>
                    </w:rPr>
                  </w:pPr>
                  <w:r>
                    <w:rPr>
                      <w:color w:val="auto"/>
                    </w:rPr>
                    <w:t>1、水资源利用效率要求</w:t>
                  </w:r>
                </w:p>
                <w:p>
                  <w:pPr>
                    <w:jc w:val="left"/>
                    <w:rPr>
                      <w:color w:val="auto"/>
                    </w:rPr>
                  </w:pPr>
                  <w:r>
                    <w:rPr>
                      <w:color w:val="auto"/>
                    </w:rPr>
                    <w:t>同广元市、利州区总体准入要求</w:t>
                  </w:r>
                </w:p>
                <w:p>
                  <w:pPr>
                    <w:jc w:val="left"/>
                    <w:rPr>
                      <w:color w:val="auto"/>
                    </w:rPr>
                  </w:pPr>
                </w:p>
                <w:p>
                  <w:pPr>
                    <w:jc w:val="left"/>
                    <w:rPr>
                      <w:color w:val="auto"/>
                    </w:rPr>
                  </w:pPr>
                  <w:r>
                    <w:rPr>
                      <w:color w:val="auto"/>
                    </w:rPr>
                    <w:t>2、地下水开采要求</w:t>
                  </w:r>
                </w:p>
                <w:p>
                  <w:pPr>
                    <w:jc w:val="left"/>
                    <w:rPr>
                      <w:color w:val="auto"/>
                    </w:rPr>
                  </w:pPr>
                  <w:r>
                    <w:rPr>
                      <w:color w:val="auto"/>
                    </w:rPr>
                    <w:t>同广元市、利州区总体准入要求</w:t>
                  </w:r>
                </w:p>
                <w:p>
                  <w:pPr>
                    <w:jc w:val="left"/>
                    <w:rPr>
                      <w:color w:val="auto"/>
                    </w:rPr>
                  </w:pPr>
                </w:p>
                <w:p>
                  <w:pPr>
                    <w:jc w:val="left"/>
                    <w:rPr>
                      <w:color w:val="auto"/>
                    </w:rPr>
                  </w:pPr>
                  <w:r>
                    <w:rPr>
                      <w:color w:val="auto"/>
                    </w:rPr>
                    <w:t>3、能源利用效率要求</w:t>
                  </w:r>
                </w:p>
                <w:p>
                  <w:pPr>
                    <w:jc w:val="left"/>
                    <w:rPr>
                      <w:color w:val="auto"/>
                    </w:rPr>
                  </w:pPr>
                  <w:r>
                    <w:rPr>
                      <w:color w:val="auto"/>
                    </w:rPr>
                    <w:t>其他资源利用效率要求</w:t>
                  </w:r>
                </w:p>
              </w:tc>
              <w:tc>
                <w:tcPr>
                  <w:tcW w:w="1838" w:type="dxa"/>
                  <w:vAlign w:val="center"/>
                </w:tcPr>
                <w:p>
                  <w:pPr>
                    <w:pStyle w:val="63"/>
                    <w:rPr>
                      <w:color w:val="auto"/>
                      <w:szCs w:val="21"/>
                    </w:rPr>
                  </w:pPr>
                  <w:r>
                    <w:rPr>
                      <w:color w:val="auto"/>
                      <w:szCs w:val="21"/>
                    </w:rPr>
                    <w:t>本项目为防洪治理工程，不涉及资源开发利用</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rPr>
                  </w:pPr>
                  <w:r>
                    <w:rPr>
                      <w:color w:val="auto"/>
                      <w:kern w:val="0"/>
                      <w:szCs w:val="21"/>
                    </w:rPr>
                    <w:t>单元名称：</w:t>
                  </w:r>
                  <w:r>
                    <w:rPr>
                      <w:color w:val="auto"/>
                    </w:rPr>
                    <w:t>朝天区自然资源重点管控区</w:t>
                  </w:r>
                </w:p>
                <w:p>
                  <w:pPr>
                    <w:jc w:val="center"/>
                    <w:rPr>
                      <w:color w:val="auto"/>
                      <w:kern w:val="0"/>
                      <w:szCs w:val="21"/>
                    </w:rPr>
                  </w:pPr>
                  <w:r>
                    <w:rPr>
                      <w:color w:val="auto"/>
                      <w:kern w:val="0"/>
                      <w:szCs w:val="21"/>
                    </w:rPr>
                    <w:t>单元编码：</w:t>
                  </w:r>
                </w:p>
                <w:p>
                  <w:pPr>
                    <w:jc w:val="center"/>
                    <w:rPr>
                      <w:color w:val="auto"/>
                    </w:rPr>
                  </w:pPr>
                  <w:r>
                    <w:rPr>
                      <w:color w:val="auto"/>
                    </w:rPr>
                    <w:t>YS5108122550001</w:t>
                  </w:r>
                </w:p>
                <w:p>
                  <w:pPr>
                    <w:jc w:val="center"/>
                    <w:rPr>
                      <w:color w:val="auto"/>
                      <w:kern w:val="0"/>
                      <w:szCs w:val="21"/>
                    </w:rPr>
                  </w:pPr>
                  <w:r>
                    <w:rPr>
                      <w:color w:val="auto"/>
                      <w:kern w:val="0"/>
                      <w:szCs w:val="21"/>
                    </w:rPr>
                    <w:t>分区类型：</w:t>
                  </w:r>
                  <w:r>
                    <w:rPr>
                      <w:color w:val="auto"/>
                    </w:rPr>
                    <w:t>自然资源重点管控区</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jc w:val="left"/>
                    <w:rPr>
                      <w:color w:val="auto"/>
                    </w:rPr>
                  </w:pPr>
                  <w:r>
                    <w:rPr>
                      <w:color w:val="auto"/>
                      <w:szCs w:val="21"/>
                    </w:rPr>
                    <w:t>合理开发高效利用水资源，建设节水型社会；优化土地利用布局与结构；优化产业空间布局，构建清洁能源体系</w:t>
                  </w:r>
                </w:p>
              </w:tc>
              <w:tc>
                <w:tcPr>
                  <w:tcW w:w="1838" w:type="dxa"/>
                  <w:vAlign w:val="center"/>
                </w:tcPr>
                <w:p>
                  <w:pPr>
                    <w:pStyle w:val="63"/>
                    <w:rPr>
                      <w:color w:val="auto"/>
                      <w:szCs w:val="21"/>
                    </w:rPr>
                  </w:pPr>
                  <w:r>
                    <w:rPr>
                      <w:color w:val="auto"/>
                      <w:szCs w:val="21"/>
                    </w:rPr>
                    <w:t>本项目为防洪治理工程，不涉及水资源开发利用，新建堤防段涉及占用耕地、林地、建设用地及滩涂，经核实，本项目实施河段永久占地和临时占地均不涉及占用基本农田</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r>
                    <w:rPr>
                      <w:color w:val="auto"/>
                      <w:kern w:val="0"/>
                      <w:szCs w:val="21"/>
                    </w:rPr>
                    <w:t>0</w:t>
                  </w: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rPr>
                  </w:pPr>
                  <w:r>
                    <w:rPr>
                      <w:color w:val="auto"/>
                      <w:kern w:val="0"/>
                      <w:szCs w:val="21"/>
                    </w:rPr>
                    <w:t>单元名称：</w:t>
                  </w:r>
                  <w:r>
                    <w:rPr>
                      <w:color w:val="auto"/>
                    </w:rPr>
                    <w:t>仇坝工业园区</w:t>
                  </w:r>
                </w:p>
                <w:p>
                  <w:pPr>
                    <w:jc w:val="center"/>
                    <w:rPr>
                      <w:color w:val="auto"/>
                      <w:kern w:val="0"/>
                      <w:szCs w:val="21"/>
                    </w:rPr>
                  </w:pPr>
                  <w:r>
                    <w:rPr>
                      <w:color w:val="auto"/>
                      <w:kern w:val="0"/>
                      <w:szCs w:val="21"/>
                    </w:rPr>
                    <w:t>单元编码：</w:t>
                  </w:r>
                </w:p>
                <w:p>
                  <w:pPr>
                    <w:jc w:val="center"/>
                    <w:rPr>
                      <w:color w:val="auto"/>
                    </w:rPr>
                  </w:pPr>
                  <w:r>
                    <w:rPr>
                      <w:color w:val="auto"/>
                    </w:rPr>
                    <w:t>ZH51081220003</w:t>
                  </w:r>
                </w:p>
                <w:p>
                  <w:pPr>
                    <w:jc w:val="center"/>
                    <w:rPr>
                      <w:color w:val="auto"/>
                      <w:kern w:val="0"/>
                      <w:szCs w:val="21"/>
                    </w:rPr>
                  </w:pPr>
                  <w:r>
                    <w:rPr>
                      <w:color w:val="auto"/>
                      <w:kern w:val="0"/>
                      <w:szCs w:val="21"/>
                    </w:rPr>
                    <w:t>分区类型：</w:t>
                  </w:r>
                  <w:r>
                    <w:rPr>
                      <w:color w:val="auto"/>
                    </w:rPr>
                    <w:t>环境综合管控单元工业重点管控单元</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jc w:val="left"/>
                    <w:rPr>
                      <w:color w:val="auto"/>
                    </w:rPr>
                  </w:pPr>
                  <w:r>
                    <w:rPr>
                      <w:color w:val="auto"/>
                    </w:rPr>
                    <w:t>1、禁止开发建设活动的要求</w:t>
                  </w:r>
                </w:p>
                <w:p>
                  <w:pPr>
                    <w:jc w:val="left"/>
                    <w:rPr>
                      <w:color w:val="auto"/>
                    </w:rPr>
                  </w:pPr>
                  <w:r>
                    <w:rPr>
                      <w:color w:val="auto"/>
                    </w:rPr>
                    <w:t>禁止危废处置、废旧汽车拆解等工业废弃品建设项目同工业重点单元总体准入要求</w:t>
                  </w:r>
                </w:p>
                <w:p>
                  <w:pPr>
                    <w:jc w:val="left"/>
                    <w:rPr>
                      <w:color w:val="auto"/>
                    </w:rPr>
                  </w:pPr>
                </w:p>
                <w:p>
                  <w:pPr>
                    <w:jc w:val="left"/>
                    <w:rPr>
                      <w:color w:val="auto"/>
                    </w:rPr>
                  </w:pPr>
                  <w:r>
                    <w:rPr>
                      <w:color w:val="auto"/>
                    </w:rPr>
                    <w:t>2、限制开发建设活动的要求</w:t>
                  </w:r>
                </w:p>
                <w:p>
                  <w:pPr>
                    <w:jc w:val="left"/>
                    <w:rPr>
                      <w:color w:val="auto"/>
                    </w:rPr>
                  </w:pPr>
                  <w:r>
                    <w:rPr>
                      <w:color w:val="auto"/>
                    </w:rPr>
                    <w:t>限制引入用水、排水量大的生产性企业其他同工业重点单元总体准入要求</w:t>
                  </w:r>
                </w:p>
                <w:p>
                  <w:pPr>
                    <w:jc w:val="left"/>
                    <w:rPr>
                      <w:color w:val="auto"/>
                    </w:rPr>
                  </w:pPr>
                </w:p>
                <w:p>
                  <w:pPr>
                    <w:jc w:val="left"/>
                    <w:rPr>
                      <w:color w:val="auto"/>
                    </w:rPr>
                  </w:pPr>
                  <w:r>
                    <w:rPr>
                      <w:color w:val="auto"/>
                    </w:rPr>
                    <w:t>3、允许开发建设活动的要求</w:t>
                  </w:r>
                </w:p>
                <w:p>
                  <w:pPr>
                    <w:jc w:val="left"/>
                    <w:rPr>
                      <w:color w:val="auto"/>
                    </w:rPr>
                  </w:pPr>
                  <w:r>
                    <w:rPr>
                      <w:color w:val="auto"/>
                    </w:rPr>
                    <w:t>同工业重点单元总体准入要求</w:t>
                  </w:r>
                </w:p>
                <w:p>
                  <w:pPr>
                    <w:jc w:val="left"/>
                    <w:rPr>
                      <w:color w:val="auto"/>
                    </w:rPr>
                  </w:pPr>
                </w:p>
                <w:p>
                  <w:pPr>
                    <w:jc w:val="left"/>
                    <w:rPr>
                      <w:color w:val="auto"/>
                    </w:rPr>
                  </w:pPr>
                  <w:r>
                    <w:rPr>
                      <w:color w:val="auto"/>
                    </w:rPr>
                    <w:t>4、不符合空间布局要求活动的退出要求</w:t>
                  </w:r>
                </w:p>
                <w:p>
                  <w:pPr>
                    <w:jc w:val="left"/>
                    <w:rPr>
                      <w:color w:val="auto"/>
                    </w:rPr>
                  </w:pPr>
                  <w:r>
                    <w:rPr>
                      <w:color w:val="auto"/>
                    </w:rPr>
                    <w:t>同工业重点单元总体准入要求</w:t>
                  </w:r>
                </w:p>
              </w:tc>
              <w:tc>
                <w:tcPr>
                  <w:tcW w:w="1838" w:type="dxa"/>
                  <w:vAlign w:val="center"/>
                </w:tcPr>
                <w:p>
                  <w:pPr>
                    <w:pStyle w:val="63"/>
                    <w:rPr>
                      <w:color w:val="auto"/>
                      <w:szCs w:val="21"/>
                    </w:rPr>
                  </w:pPr>
                  <w:r>
                    <w:rPr>
                      <w:color w:val="auto"/>
                      <w:szCs w:val="21"/>
                    </w:rPr>
                    <w:t>本项目为防洪治理工程，不属于危废处置</w:t>
                  </w:r>
                  <w:r>
                    <w:rPr>
                      <w:color w:val="auto"/>
                      <w:szCs w:val="24"/>
                    </w:rPr>
                    <w:t>、废旧汽车拆解等工业废弃品建设项目，不属于用水、排水量大的生产性企业</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jc w:val="left"/>
                    <w:rPr>
                      <w:color w:val="auto"/>
                    </w:rPr>
                  </w:pPr>
                  <w:r>
                    <w:rPr>
                      <w:color w:val="auto"/>
                    </w:rPr>
                    <w:t>1、现有源提标升级改造</w:t>
                  </w:r>
                </w:p>
                <w:p>
                  <w:pPr>
                    <w:jc w:val="left"/>
                    <w:rPr>
                      <w:color w:val="auto"/>
                    </w:rPr>
                  </w:pPr>
                  <w:r>
                    <w:rPr>
                      <w:color w:val="auto"/>
                    </w:rPr>
                    <w:t>同工业重点单元总体准入要求</w:t>
                  </w:r>
                </w:p>
                <w:p>
                  <w:pPr>
                    <w:jc w:val="left"/>
                    <w:rPr>
                      <w:color w:val="auto"/>
                    </w:rPr>
                  </w:pPr>
                </w:p>
                <w:p>
                  <w:pPr>
                    <w:jc w:val="left"/>
                    <w:rPr>
                      <w:color w:val="auto"/>
                    </w:rPr>
                  </w:pPr>
                  <w:r>
                    <w:rPr>
                      <w:color w:val="auto"/>
                    </w:rPr>
                    <w:t>2、新增源等量或倍量替代</w:t>
                  </w:r>
                </w:p>
                <w:p>
                  <w:pPr>
                    <w:jc w:val="left"/>
                    <w:rPr>
                      <w:color w:val="auto"/>
                    </w:rPr>
                  </w:pPr>
                  <w:r>
                    <w:rPr>
                      <w:color w:val="auto"/>
                    </w:rPr>
                    <w:t>污水管网及污水处理厂应在园区企业运营之前投入使用，禁止企业污水直排羊木河。其他同工业重点单元总体准入要求。</w:t>
                  </w:r>
                </w:p>
                <w:p>
                  <w:pPr>
                    <w:jc w:val="left"/>
                    <w:rPr>
                      <w:color w:val="auto"/>
                    </w:rPr>
                  </w:pPr>
                </w:p>
                <w:p>
                  <w:pPr>
                    <w:jc w:val="left"/>
                    <w:rPr>
                      <w:color w:val="auto"/>
                    </w:rPr>
                  </w:pPr>
                  <w:r>
                    <w:rPr>
                      <w:color w:val="auto"/>
                    </w:rPr>
                    <w:t>3、新增源排放标准限值</w:t>
                  </w:r>
                </w:p>
                <w:p>
                  <w:pPr>
                    <w:jc w:val="left"/>
                    <w:rPr>
                      <w:color w:val="auto"/>
                    </w:rPr>
                  </w:pPr>
                  <w:r>
                    <w:rPr>
                      <w:color w:val="auto"/>
                    </w:rPr>
                    <w:t>同工业重点单元总体准入要求</w:t>
                  </w:r>
                </w:p>
                <w:p>
                  <w:pPr>
                    <w:jc w:val="left"/>
                    <w:rPr>
                      <w:color w:val="auto"/>
                    </w:rPr>
                  </w:pPr>
                </w:p>
                <w:p>
                  <w:pPr>
                    <w:jc w:val="left"/>
                    <w:rPr>
                      <w:color w:val="auto"/>
                    </w:rPr>
                  </w:pPr>
                  <w:r>
                    <w:rPr>
                      <w:color w:val="auto"/>
                    </w:rPr>
                    <w:t>4、污染物排放绩效水平准入要求</w:t>
                  </w:r>
                </w:p>
                <w:p>
                  <w:pPr>
                    <w:jc w:val="left"/>
                    <w:rPr>
                      <w:color w:val="auto"/>
                    </w:rPr>
                  </w:pPr>
                  <w:r>
                    <w:rPr>
                      <w:color w:val="auto"/>
                    </w:rPr>
                    <w:t>同工业重点单元总体准入要求</w:t>
                  </w:r>
                </w:p>
                <w:p>
                  <w:pPr>
                    <w:jc w:val="left"/>
                    <w:rPr>
                      <w:color w:val="auto"/>
                    </w:rPr>
                  </w:pPr>
                </w:p>
                <w:p>
                  <w:pPr>
                    <w:jc w:val="left"/>
                    <w:rPr>
                      <w:color w:val="auto"/>
                    </w:rPr>
                  </w:pPr>
                  <w:r>
                    <w:rPr>
                      <w:color w:val="auto"/>
                    </w:rPr>
                    <w:t>5、其他污染物排放管控要求</w:t>
                  </w:r>
                </w:p>
                <w:p>
                  <w:pPr>
                    <w:jc w:val="left"/>
                    <w:rPr>
                      <w:color w:val="auto"/>
                    </w:rPr>
                  </w:pPr>
                  <w:r>
                    <w:rPr>
                      <w:color w:val="auto"/>
                    </w:rPr>
                    <w:t>同工业重点单元总体准入要求</w:t>
                  </w:r>
                </w:p>
              </w:tc>
              <w:tc>
                <w:tcPr>
                  <w:tcW w:w="1838" w:type="dxa"/>
                  <w:vAlign w:val="center"/>
                </w:tcPr>
                <w:p>
                  <w:pPr>
                    <w:pStyle w:val="63"/>
                    <w:rPr>
                      <w:color w:val="auto"/>
                      <w:szCs w:val="21"/>
                    </w:rPr>
                  </w:pPr>
                  <w:r>
                    <w:rPr>
                      <w:color w:val="auto"/>
                      <w:szCs w:val="21"/>
                    </w:rPr>
                    <w:t>本项目施工期落实各污染防治措施后满足污染物排放管控要求。</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jc w:val="left"/>
                    <w:rPr>
                      <w:color w:val="auto"/>
                    </w:rPr>
                  </w:pPr>
                  <w:r>
                    <w:rPr>
                      <w:color w:val="auto"/>
                    </w:rPr>
                    <w:t>1、严格管控类农用地管控要求</w:t>
                  </w:r>
                </w:p>
                <w:p>
                  <w:pPr>
                    <w:jc w:val="left"/>
                    <w:rPr>
                      <w:color w:val="auto"/>
                    </w:rPr>
                  </w:pPr>
                  <w:r>
                    <w:rPr>
                      <w:color w:val="auto"/>
                    </w:rPr>
                    <w:t>同广元市工业重点单元总体准入要求。</w:t>
                  </w:r>
                </w:p>
                <w:p>
                  <w:pPr>
                    <w:jc w:val="left"/>
                    <w:rPr>
                      <w:color w:val="auto"/>
                    </w:rPr>
                  </w:pPr>
                </w:p>
                <w:p>
                  <w:pPr>
                    <w:jc w:val="left"/>
                    <w:rPr>
                      <w:color w:val="auto"/>
                    </w:rPr>
                  </w:pPr>
                  <w:r>
                    <w:rPr>
                      <w:color w:val="auto"/>
                    </w:rPr>
                    <w:t>2、园区环境风险防控要求</w:t>
                  </w:r>
                </w:p>
                <w:p>
                  <w:pPr>
                    <w:jc w:val="left"/>
                    <w:rPr>
                      <w:color w:val="auto"/>
                    </w:rPr>
                  </w:pPr>
                  <w:r>
                    <w:rPr>
                      <w:color w:val="auto"/>
                    </w:rPr>
                    <w:t>同工业重点单元总体准入要求</w:t>
                  </w:r>
                </w:p>
                <w:p>
                  <w:pPr>
                    <w:jc w:val="left"/>
                    <w:rPr>
                      <w:color w:val="auto"/>
                    </w:rPr>
                  </w:pPr>
                </w:p>
                <w:p>
                  <w:pPr>
                    <w:jc w:val="left"/>
                    <w:rPr>
                      <w:color w:val="auto"/>
                    </w:rPr>
                  </w:pPr>
                  <w:r>
                    <w:rPr>
                      <w:color w:val="auto"/>
                    </w:rPr>
                    <w:t>3、企业环境风险防控要求</w:t>
                  </w:r>
                </w:p>
                <w:p>
                  <w:pPr>
                    <w:jc w:val="left"/>
                    <w:rPr>
                      <w:color w:val="auto"/>
                    </w:rPr>
                  </w:pPr>
                  <w:r>
                    <w:rPr>
                      <w:color w:val="auto"/>
                    </w:rPr>
                    <w:t>同工业重点单元总体准入要求</w:t>
                  </w:r>
                </w:p>
                <w:p>
                  <w:pPr>
                    <w:jc w:val="left"/>
                    <w:rPr>
                      <w:color w:val="auto"/>
                    </w:rPr>
                  </w:pPr>
                </w:p>
                <w:p>
                  <w:pPr>
                    <w:jc w:val="left"/>
                    <w:rPr>
                      <w:color w:val="auto"/>
                    </w:rPr>
                  </w:pPr>
                  <w:r>
                    <w:rPr>
                      <w:color w:val="auto"/>
                    </w:rPr>
                    <w:t>4、其他环境风险防控要求</w:t>
                  </w:r>
                </w:p>
                <w:p>
                  <w:pPr>
                    <w:jc w:val="left"/>
                    <w:rPr>
                      <w:color w:val="auto"/>
                    </w:rPr>
                  </w:pPr>
                  <w:r>
                    <w:rPr>
                      <w:color w:val="auto"/>
                    </w:rPr>
                    <w:t>同工业重点单元总体准入要求</w:t>
                  </w:r>
                </w:p>
              </w:tc>
              <w:tc>
                <w:tcPr>
                  <w:tcW w:w="1838" w:type="dxa"/>
                  <w:vAlign w:val="center"/>
                </w:tcPr>
                <w:p>
                  <w:pPr>
                    <w:pStyle w:val="63"/>
                    <w:rPr>
                      <w:color w:val="auto"/>
                      <w:szCs w:val="21"/>
                    </w:rPr>
                  </w:pPr>
                  <w:r>
                    <w:rPr>
                      <w:color w:val="auto"/>
                      <w:szCs w:val="21"/>
                    </w:rPr>
                    <w:t>本项目按要求进行环境风防范。</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jc w:val="left"/>
                    <w:rPr>
                      <w:color w:val="auto"/>
                    </w:rPr>
                  </w:pPr>
                  <w:r>
                    <w:rPr>
                      <w:color w:val="auto"/>
                    </w:rPr>
                    <w:t>1、水资源利用效率要求</w:t>
                  </w:r>
                </w:p>
                <w:p>
                  <w:pPr>
                    <w:jc w:val="left"/>
                    <w:rPr>
                      <w:color w:val="auto"/>
                    </w:rPr>
                  </w:pPr>
                  <w:r>
                    <w:rPr>
                      <w:color w:val="auto"/>
                    </w:rPr>
                    <w:t>同广元市、朝天区总体准入要求</w:t>
                  </w:r>
                </w:p>
                <w:p>
                  <w:pPr>
                    <w:jc w:val="left"/>
                    <w:rPr>
                      <w:color w:val="auto"/>
                    </w:rPr>
                  </w:pPr>
                </w:p>
                <w:p>
                  <w:pPr>
                    <w:jc w:val="left"/>
                    <w:rPr>
                      <w:color w:val="auto"/>
                    </w:rPr>
                  </w:pPr>
                  <w:r>
                    <w:rPr>
                      <w:color w:val="auto"/>
                    </w:rPr>
                    <w:t>2、地下水开采要求</w:t>
                  </w:r>
                </w:p>
                <w:p>
                  <w:pPr>
                    <w:jc w:val="left"/>
                    <w:rPr>
                      <w:color w:val="auto"/>
                    </w:rPr>
                  </w:pPr>
                  <w:r>
                    <w:rPr>
                      <w:color w:val="auto"/>
                    </w:rPr>
                    <w:t>同广元市、利州区总体准入要求</w:t>
                  </w:r>
                </w:p>
                <w:p>
                  <w:pPr>
                    <w:jc w:val="left"/>
                    <w:rPr>
                      <w:color w:val="auto"/>
                    </w:rPr>
                  </w:pPr>
                </w:p>
                <w:p>
                  <w:pPr>
                    <w:jc w:val="left"/>
                    <w:rPr>
                      <w:color w:val="auto"/>
                    </w:rPr>
                  </w:pPr>
                  <w:r>
                    <w:rPr>
                      <w:color w:val="auto"/>
                    </w:rPr>
                    <w:t>3、能源利用效率要求</w:t>
                  </w:r>
                </w:p>
                <w:p>
                  <w:pPr>
                    <w:jc w:val="left"/>
                    <w:rPr>
                      <w:color w:val="auto"/>
                    </w:rPr>
                  </w:pPr>
                  <w:r>
                    <w:rPr>
                      <w:color w:val="auto"/>
                    </w:rPr>
                    <w:t>其他资源利用效率要求</w:t>
                  </w:r>
                </w:p>
              </w:tc>
              <w:tc>
                <w:tcPr>
                  <w:tcW w:w="1838" w:type="dxa"/>
                  <w:vAlign w:val="center"/>
                </w:tcPr>
                <w:p>
                  <w:pPr>
                    <w:pStyle w:val="63"/>
                    <w:rPr>
                      <w:color w:val="auto"/>
                      <w:szCs w:val="21"/>
                    </w:rPr>
                  </w:pPr>
                  <w:r>
                    <w:rPr>
                      <w:color w:val="auto"/>
                      <w:szCs w:val="21"/>
                    </w:rPr>
                    <w:t>本项目为防洪治理工程，不涉及资源开发利用</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restart"/>
                  <w:vAlign w:val="center"/>
                </w:tcPr>
                <w:p>
                  <w:pPr>
                    <w:jc w:val="center"/>
                    <w:rPr>
                      <w:color w:val="auto"/>
                    </w:rPr>
                  </w:pPr>
                  <w:r>
                    <w:rPr>
                      <w:color w:val="auto"/>
                      <w:kern w:val="0"/>
                      <w:szCs w:val="21"/>
                    </w:rPr>
                    <w:t>单元名称：</w:t>
                  </w:r>
                  <w:r>
                    <w:rPr>
                      <w:color w:val="auto"/>
                    </w:rPr>
                    <w:t>元西村-朝天区-仇坝工业园区-管控单元</w:t>
                  </w:r>
                </w:p>
                <w:p>
                  <w:pPr>
                    <w:jc w:val="center"/>
                    <w:rPr>
                      <w:color w:val="auto"/>
                      <w:kern w:val="0"/>
                      <w:szCs w:val="21"/>
                    </w:rPr>
                  </w:pPr>
                  <w:r>
                    <w:rPr>
                      <w:color w:val="auto"/>
                      <w:kern w:val="0"/>
                      <w:szCs w:val="21"/>
                    </w:rPr>
                    <w:t>单元编码：</w:t>
                  </w:r>
                </w:p>
                <w:p>
                  <w:pPr>
                    <w:jc w:val="center"/>
                    <w:rPr>
                      <w:color w:val="auto"/>
                    </w:rPr>
                  </w:pPr>
                  <w:r>
                    <w:rPr>
                      <w:color w:val="auto"/>
                    </w:rPr>
                    <w:t>YS5108122210002</w:t>
                  </w:r>
                </w:p>
                <w:p>
                  <w:pPr>
                    <w:jc w:val="center"/>
                    <w:rPr>
                      <w:color w:val="auto"/>
                      <w:kern w:val="0"/>
                      <w:szCs w:val="21"/>
                    </w:rPr>
                  </w:pPr>
                  <w:r>
                    <w:rPr>
                      <w:color w:val="auto"/>
                      <w:kern w:val="0"/>
                      <w:szCs w:val="21"/>
                    </w:rPr>
                    <w:t>分区类型：</w:t>
                  </w:r>
                  <w:r>
                    <w:rPr>
                      <w:color w:val="auto"/>
                    </w:rPr>
                    <w:t>水环境工业污染重点管控区</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jc w:val="left"/>
                    <w:rPr>
                      <w:color w:val="auto"/>
                    </w:rPr>
                  </w:pPr>
                  <w:r>
                    <w:rPr>
                      <w:color w:val="auto"/>
                    </w:rPr>
                    <w:t>1、城镇污水污染控制措施要求</w:t>
                  </w:r>
                </w:p>
                <w:p>
                  <w:pPr>
                    <w:jc w:val="left"/>
                    <w:rPr>
                      <w:color w:val="auto"/>
                    </w:rPr>
                  </w:pPr>
                  <w:r>
                    <w:rPr>
                      <w:color w:val="auto"/>
                    </w:rPr>
                    <w:t>提升城镇生活污水处理能力，完善城镇生活污水收集系统，推进城镇生活污水处理设施提标改造</w:t>
                  </w:r>
                </w:p>
                <w:p>
                  <w:pPr>
                    <w:jc w:val="left"/>
                    <w:rPr>
                      <w:color w:val="auto"/>
                    </w:rPr>
                  </w:pPr>
                </w:p>
                <w:p>
                  <w:pPr>
                    <w:jc w:val="left"/>
                    <w:rPr>
                      <w:color w:val="auto"/>
                    </w:rPr>
                  </w:pPr>
                  <w:r>
                    <w:rPr>
                      <w:color w:val="auto"/>
                    </w:rPr>
                    <w:t>2、工业废水污染控制措施要求</w:t>
                  </w:r>
                </w:p>
                <w:p>
                  <w:pPr>
                    <w:jc w:val="left"/>
                    <w:rPr>
                      <w:color w:val="auto"/>
                    </w:rPr>
                  </w:pPr>
                  <w:r>
                    <w:rPr>
                      <w:color w:val="auto"/>
                    </w:rPr>
                    <w:t>重点实施总磷总量控制和重点污染物减排，从严控制新建、扩建涉磷行业的项目建设；集中治理工业集聚区水污染，形成较为完善的工业集聚区废水处理体系，实现超标废水零排放；对于枯水期等易发生水质超标的时段，实施排污大户企业限产限排等应急措施</w:t>
                  </w:r>
                </w:p>
                <w:p>
                  <w:pPr>
                    <w:jc w:val="left"/>
                    <w:rPr>
                      <w:color w:val="auto"/>
                    </w:rPr>
                  </w:pPr>
                </w:p>
                <w:p>
                  <w:pPr>
                    <w:jc w:val="left"/>
                    <w:rPr>
                      <w:color w:val="auto"/>
                    </w:rPr>
                  </w:pPr>
                  <w:r>
                    <w:rPr>
                      <w:color w:val="auto"/>
                    </w:rPr>
                    <w:t>3、农业面源水污染控制措施要求</w:t>
                  </w:r>
                </w:p>
                <w:p>
                  <w:pPr>
                    <w:jc w:val="left"/>
                    <w:rPr>
                      <w:color w:val="auto"/>
                    </w:rPr>
                  </w:pPr>
                  <w:r>
                    <w:rPr>
                      <w:color w:val="auto"/>
                    </w:rPr>
                    <w:t>推进化肥、农药使用量“零增长”，提升畜禽养殖养殖废物资源化利用率</w:t>
                  </w:r>
                </w:p>
                <w:p>
                  <w:pPr>
                    <w:jc w:val="left"/>
                    <w:rPr>
                      <w:color w:val="auto"/>
                    </w:rPr>
                  </w:pPr>
                </w:p>
                <w:p>
                  <w:pPr>
                    <w:jc w:val="left"/>
                    <w:rPr>
                      <w:color w:val="auto"/>
                    </w:rPr>
                  </w:pPr>
                  <w:r>
                    <w:rPr>
                      <w:color w:val="auto"/>
                    </w:rPr>
                    <w:t>4、船舶港口水污染控制措施要求</w:t>
                  </w:r>
                </w:p>
                <w:p>
                  <w:pPr>
                    <w:jc w:val="left"/>
                    <w:rPr>
                      <w:color w:val="auto"/>
                    </w:rPr>
                  </w:pPr>
                  <w:r>
                    <w:rPr>
                      <w:color w:val="auto"/>
                    </w:rPr>
                    <w:t>饮用水水源和其它特殊水体保护要求</w:t>
                  </w:r>
                </w:p>
              </w:tc>
              <w:tc>
                <w:tcPr>
                  <w:tcW w:w="1838" w:type="dxa"/>
                  <w:vAlign w:val="center"/>
                </w:tcPr>
                <w:p>
                  <w:pPr>
                    <w:pStyle w:val="63"/>
                    <w:rPr>
                      <w:color w:val="auto"/>
                      <w:szCs w:val="21"/>
                    </w:rPr>
                  </w:pPr>
                  <w:r>
                    <w:rPr>
                      <w:color w:val="auto"/>
                      <w:szCs w:val="21"/>
                    </w:rPr>
                    <w:t>本项目为防洪治理项目，运营期无废水产生，施工期生产废水经处理后回用不外排，施工期产生的生活污水依托租用居民房屋已建化粪池处理后用于周边农田及林地施肥，不外排。</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jc w:val="left"/>
                    <w:rPr>
                      <w:color w:val="auto"/>
                    </w:rPr>
                  </w:pPr>
                  <w:r>
                    <w:rPr>
                      <w:color w:val="auto"/>
                    </w:rPr>
                    <w:t>加强环境风险防范，坚持预防为主，构建以企业为主体的环境风险防控体系，优化产业布局，加强协调联动，提升应急救援能力；严格环境风险源头防控，加强涉重金属、危险废物、危化品等重点企业环境风险评估；强化工业、企业集中分布区环境风险管控，建设相应的防护工程。</w:t>
                  </w:r>
                </w:p>
              </w:tc>
              <w:tc>
                <w:tcPr>
                  <w:tcW w:w="1838" w:type="dxa"/>
                  <w:vAlign w:val="center"/>
                </w:tcPr>
                <w:p>
                  <w:pPr>
                    <w:pStyle w:val="63"/>
                    <w:rPr>
                      <w:color w:val="auto"/>
                      <w:szCs w:val="21"/>
                    </w:rPr>
                  </w:pPr>
                  <w:r>
                    <w:rPr>
                      <w:color w:val="auto"/>
                      <w:szCs w:val="21"/>
                    </w:rPr>
                    <w:t>本项目按要求进行环境风防范。</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095" w:type="dxa"/>
                  <w:vMerge w:val="restart"/>
                  <w:vAlign w:val="center"/>
                </w:tcPr>
                <w:p>
                  <w:pPr>
                    <w:jc w:val="center"/>
                    <w:rPr>
                      <w:color w:val="auto"/>
                    </w:rPr>
                  </w:pPr>
                  <w:r>
                    <w:rPr>
                      <w:color w:val="auto"/>
                      <w:kern w:val="0"/>
                      <w:szCs w:val="21"/>
                    </w:rPr>
                    <w:t>单元名称：</w:t>
                  </w:r>
                  <w:r>
                    <w:rPr>
                      <w:color w:val="auto"/>
                    </w:rPr>
                    <w:t>仇坝工业园区</w:t>
                  </w:r>
                </w:p>
                <w:p>
                  <w:pPr>
                    <w:jc w:val="center"/>
                    <w:rPr>
                      <w:color w:val="auto"/>
                      <w:kern w:val="0"/>
                      <w:szCs w:val="21"/>
                    </w:rPr>
                  </w:pPr>
                  <w:r>
                    <w:rPr>
                      <w:color w:val="auto"/>
                      <w:kern w:val="0"/>
                      <w:szCs w:val="21"/>
                    </w:rPr>
                    <w:t>单元编码：</w:t>
                  </w:r>
                </w:p>
                <w:p>
                  <w:pPr>
                    <w:jc w:val="center"/>
                    <w:rPr>
                      <w:color w:val="auto"/>
                    </w:rPr>
                  </w:pPr>
                  <w:r>
                    <w:rPr>
                      <w:color w:val="auto"/>
                    </w:rPr>
                    <w:t>YS5108122310002</w:t>
                  </w:r>
                </w:p>
                <w:p>
                  <w:pPr>
                    <w:jc w:val="center"/>
                    <w:rPr>
                      <w:color w:val="auto"/>
                      <w:kern w:val="0"/>
                      <w:szCs w:val="21"/>
                    </w:rPr>
                  </w:pPr>
                  <w:r>
                    <w:rPr>
                      <w:color w:val="auto"/>
                      <w:kern w:val="0"/>
                      <w:szCs w:val="21"/>
                    </w:rPr>
                    <w:t>分区类型：</w:t>
                  </w:r>
                  <w:r>
                    <w:rPr>
                      <w:color w:val="auto"/>
                    </w:rPr>
                    <w:t>大气环境高排放重点管控区</w:t>
                  </w:r>
                </w:p>
              </w:tc>
              <w:tc>
                <w:tcPr>
                  <w:tcW w:w="885" w:type="dxa"/>
                  <w:vAlign w:val="center"/>
                </w:tcPr>
                <w:p>
                  <w:pPr>
                    <w:jc w:val="center"/>
                    <w:rPr>
                      <w:color w:val="auto"/>
                      <w:kern w:val="0"/>
                      <w:szCs w:val="21"/>
                    </w:rPr>
                  </w:pPr>
                  <w:r>
                    <w:rPr>
                      <w:color w:val="auto"/>
                      <w:kern w:val="0"/>
                      <w:szCs w:val="21"/>
                    </w:rPr>
                    <w:t>空间布局要求</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污染物排放管控</w:t>
                  </w:r>
                </w:p>
              </w:tc>
              <w:tc>
                <w:tcPr>
                  <w:tcW w:w="8119" w:type="dxa"/>
                  <w:vAlign w:val="center"/>
                </w:tcPr>
                <w:p>
                  <w:pPr>
                    <w:jc w:val="left"/>
                    <w:rPr>
                      <w:color w:val="auto"/>
                    </w:rPr>
                  </w:pPr>
                  <w:r>
                    <w:rPr>
                      <w:color w:val="auto"/>
                      <w:szCs w:val="21"/>
                    </w:rPr>
                    <w:t>1、大</w:t>
                  </w:r>
                  <w:r>
                    <w:rPr>
                      <w:color w:val="auto"/>
                    </w:rPr>
                    <w:t>气环境质量执行标准</w:t>
                  </w:r>
                </w:p>
                <w:p>
                  <w:pPr>
                    <w:jc w:val="left"/>
                    <w:rPr>
                      <w:color w:val="auto"/>
                    </w:rPr>
                  </w:pPr>
                  <w:r>
                    <w:rPr>
                      <w:color w:val="auto"/>
                    </w:rPr>
                    <w:t>《环境空气质量标准》（GB3095-2012）：二级</w:t>
                  </w:r>
                </w:p>
                <w:p>
                  <w:pPr>
                    <w:jc w:val="left"/>
                    <w:rPr>
                      <w:color w:val="auto"/>
                    </w:rPr>
                  </w:pPr>
                </w:p>
                <w:p>
                  <w:pPr>
                    <w:jc w:val="left"/>
                    <w:rPr>
                      <w:color w:val="auto"/>
                    </w:rPr>
                  </w:pPr>
                  <w:r>
                    <w:rPr>
                      <w:color w:val="auto"/>
                    </w:rPr>
                    <w:t>2、区域大气污染物削减/替代要求</w:t>
                  </w:r>
                </w:p>
                <w:p>
                  <w:pPr>
                    <w:jc w:val="left"/>
                    <w:rPr>
                      <w:color w:val="auto"/>
                    </w:rPr>
                  </w:pPr>
                  <w:r>
                    <w:rPr>
                      <w:color w:val="auto"/>
                    </w:rPr>
                    <w:t>新增大气污染物排放的建设项目实施总量削减替代。</w:t>
                  </w:r>
                </w:p>
                <w:p>
                  <w:pPr>
                    <w:jc w:val="left"/>
                    <w:rPr>
                      <w:color w:val="auto"/>
                    </w:rPr>
                  </w:pPr>
                </w:p>
                <w:p>
                  <w:pPr>
                    <w:jc w:val="left"/>
                    <w:rPr>
                      <w:color w:val="auto"/>
                    </w:rPr>
                  </w:pPr>
                  <w:r>
                    <w:rPr>
                      <w:color w:val="auto"/>
                    </w:rPr>
                    <w:t>3、燃煤和其他能源大气污染控制要求</w:t>
                  </w:r>
                </w:p>
                <w:p>
                  <w:pPr>
                    <w:jc w:val="left"/>
                    <w:rPr>
                      <w:color w:val="auto"/>
                    </w:rPr>
                  </w:pPr>
                  <w:r>
                    <w:rPr>
                      <w:color w:val="auto"/>
                    </w:rPr>
                    <w:t>优化能源结构，持续减少工业煤炭消费，提高能源利用效率。</w:t>
                  </w:r>
                </w:p>
                <w:p>
                  <w:pPr>
                    <w:jc w:val="left"/>
                    <w:rPr>
                      <w:color w:val="auto"/>
                    </w:rPr>
                  </w:pPr>
                </w:p>
                <w:p>
                  <w:pPr>
                    <w:jc w:val="left"/>
                    <w:rPr>
                      <w:color w:val="auto"/>
                    </w:rPr>
                  </w:pPr>
                  <w:r>
                    <w:rPr>
                      <w:color w:val="auto"/>
                    </w:rPr>
                    <w:t>4、工业废气污染控制要求</w:t>
                  </w:r>
                </w:p>
                <w:p>
                  <w:pPr>
                    <w:jc w:val="left"/>
                    <w:rPr>
                      <w:color w:val="auto"/>
                    </w:rPr>
                  </w:pPr>
                  <w:r>
                    <w:rPr>
                      <w:color w:val="auto"/>
                    </w:rPr>
                    <w:t>加强全过程控制，推广使用低（无）VOCs含量的原辅材料和生产工艺、设备。产生含挥发性有机物废气的生产和服务活动，应当在密闭空间或者设备中进行，并按照规定安装、使用污染防治设施；无法密闭的，应当采取措施减少废气排放。依法依规设置排放口，建立台账，记录VOCs产生、收集、处理、排放等情况。筛选挥发性有机物重点企业和园区名录，健全监管体系，实施精细化管理。每年更新眉山市工业企业挥发性有机物详细排放清单。建设重点企业挥发性有机物污染排放在线监控体系，确保达标排放。</w:t>
                  </w:r>
                </w:p>
                <w:p>
                  <w:pPr>
                    <w:jc w:val="left"/>
                    <w:rPr>
                      <w:color w:val="auto"/>
                    </w:rPr>
                  </w:pPr>
                </w:p>
                <w:p>
                  <w:pPr>
                    <w:jc w:val="left"/>
                    <w:rPr>
                      <w:color w:val="auto"/>
                    </w:rPr>
                  </w:pPr>
                  <w:r>
                    <w:rPr>
                      <w:color w:val="auto"/>
                    </w:rPr>
                    <w:t>5、扬尘污染控制要求</w:t>
                  </w:r>
                </w:p>
                <w:p>
                  <w:pPr>
                    <w:jc w:val="left"/>
                    <w:rPr>
                      <w:color w:val="auto"/>
                    </w:rPr>
                  </w:pPr>
                  <w:r>
                    <w:rPr>
                      <w:color w:val="auto"/>
                    </w:rPr>
                    <w:t>开展工业企业无组织粉尘排放治理；所有原材料、产品必须密闭储存、输送，包装与发运、转运采取有效措施防止起尘。</w:t>
                  </w:r>
                </w:p>
                <w:p>
                  <w:pPr>
                    <w:jc w:val="left"/>
                    <w:rPr>
                      <w:color w:val="auto"/>
                    </w:rPr>
                  </w:pPr>
                </w:p>
                <w:p>
                  <w:pPr>
                    <w:jc w:val="left"/>
                    <w:rPr>
                      <w:color w:val="auto"/>
                    </w:rPr>
                  </w:pPr>
                  <w:r>
                    <w:rPr>
                      <w:color w:val="auto"/>
                    </w:rPr>
                    <w:t>6、重点行业企业专项治理要求</w:t>
                  </w:r>
                </w:p>
                <w:p>
                  <w:pPr>
                    <w:jc w:val="left"/>
                    <w:rPr>
                      <w:color w:val="auto"/>
                    </w:rPr>
                  </w:pPr>
                  <w:r>
                    <w:rPr>
                      <w:color w:val="auto"/>
                    </w:rPr>
                    <w:t>深化水泥行业降氮脱硝工程建设，现役新型干法水泥熟料生产线在现有控制水平基础上，开展低氮燃烧改造，加强水泥行业无组织排放管理，水泥企业原料立磨、生料制备、生料入窑、熟料煅烧、输送工序需配备袋式收尘器；推进陶瓷制造行业改燃天然气等清洁能源，全部陶瓷辊道窑完成“煤改气”；完成陶瓷行业低氮燃烧及脱硝升级改造。</w:t>
                  </w:r>
                </w:p>
              </w:tc>
              <w:tc>
                <w:tcPr>
                  <w:tcW w:w="1838" w:type="dxa"/>
                  <w:vAlign w:val="center"/>
                </w:tcPr>
                <w:p>
                  <w:pPr>
                    <w:pStyle w:val="63"/>
                    <w:rPr>
                      <w:color w:val="auto"/>
                      <w:szCs w:val="21"/>
                    </w:rPr>
                  </w:pPr>
                  <w:r>
                    <w:rPr>
                      <w:color w:val="auto"/>
                      <w:szCs w:val="21"/>
                    </w:rPr>
                    <w:t>本项目大气环境质量标准执行《环境空气质量标准》（GB3095-2012）二级，本项目为防洪治理工程，不涉及工业煤炭消费，不涉及有机废气产排，不属于水泥行业、陶瓷制造行业，施工期落实各污染防治措施后满足污染物排放管控要求。</w:t>
                  </w:r>
                </w:p>
              </w:tc>
              <w:tc>
                <w:tcPr>
                  <w:tcW w:w="808"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环境风险防范</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95" w:type="dxa"/>
                  <w:vMerge w:val="continue"/>
                  <w:vAlign w:val="center"/>
                </w:tcPr>
                <w:p>
                  <w:pPr>
                    <w:jc w:val="center"/>
                    <w:rPr>
                      <w:color w:val="auto"/>
                      <w:kern w:val="0"/>
                      <w:szCs w:val="21"/>
                    </w:rPr>
                  </w:pPr>
                </w:p>
              </w:tc>
              <w:tc>
                <w:tcPr>
                  <w:tcW w:w="885" w:type="dxa"/>
                  <w:vAlign w:val="center"/>
                </w:tcPr>
                <w:p>
                  <w:pPr>
                    <w:jc w:val="center"/>
                    <w:rPr>
                      <w:color w:val="auto"/>
                      <w:kern w:val="0"/>
                      <w:szCs w:val="21"/>
                    </w:rPr>
                  </w:pPr>
                  <w:r>
                    <w:rPr>
                      <w:color w:val="auto"/>
                      <w:kern w:val="0"/>
                      <w:szCs w:val="21"/>
                    </w:rPr>
                    <w:t>资源利用开发效率</w:t>
                  </w:r>
                </w:p>
              </w:tc>
              <w:tc>
                <w:tcPr>
                  <w:tcW w:w="8119" w:type="dxa"/>
                  <w:vAlign w:val="center"/>
                </w:tcPr>
                <w:p>
                  <w:pPr>
                    <w:pStyle w:val="63"/>
                    <w:rPr>
                      <w:color w:val="auto"/>
                      <w:szCs w:val="21"/>
                    </w:rPr>
                  </w:pPr>
                  <w:r>
                    <w:rPr>
                      <w:color w:val="auto"/>
                      <w:szCs w:val="24"/>
                    </w:rPr>
                    <w:t>无相关管理要求</w:t>
                  </w:r>
                </w:p>
              </w:tc>
              <w:tc>
                <w:tcPr>
                  <w:tcW w:w="1838" w:type="dxa"/>
                  <w:vAlign w:val="center"/>
                </w:tcPr>
                <w:p>
                  <w:pPr>
                    <w:pStyle w:val="63"/>
                    <w:rPr>
                      <w:color w:val="auto"/>
                      <w:szCs w:val="21"/>
                    </w:rPr>
                  </w:pPr>
                  <w:r>
                    <w:rPr>
                      <w:color w:val="auto"/>
                      <w:szCs w:val="21"/>
                    </w:rPr>
                    <w:t>/</w:t>
                  </w:r>
                </w:p>
              </w:tc>
              <w:tc>
                <w:tcPr>
                  <w:tcW w:w="808" w:type="dxa"/>
                  <w:vAlign w:val="center"/>
                </w:tcPr>
                <w:p>
                  <w:pPr>
                    <w:jc w:val="center"/>
                    <w:rPr>
                      <w:color w:val="auto"/>
                      <w:kern w:val="0"/>
                      <w:szCs w:val="21"/>
                    </w:rPr>
                  </w:pPr>
                  <w:r>
                    <w:rPr>
                      <w:color w:val="auto"/>
                      <w:kern w:val="0"/>
                      <w:szCs w:val="21"/>
                    </w:rPr>
                    <w:t>/</w:t>
                  </w:r>
                </w:p>
              </w:tc>
            </w:tr>
          </w:tbl>
          <w:p>
            <w:pPr>
              <w:pStyle w:val="17"/>
              <w:numPr>
                <w:ilvl w:val="0"/>
                <w:numId w:val="0"/>
              </w:numPr>
              <w:ind w:left="2040" w:hanging="360"/>
              <w:rPr>
                <w:color w:val="auto"/>
              </w:rPr>
            </w:pPr>
          </w:p>
        </w:tc>
      </w:tr>
    </w:tbl>
    <w:p>
      <w:pPr>
        <w:spacing w:line="360" w:lineRule="auto"/>
        <w:outlineLvl w:val="0"/>
        <w:rPr>
          <w:rFonts w:eastAsia="黑体"/>
          <w:color w:val="auto"/>
          <w:sz w:val="30"/>
        </w:rPr>
        <w:sectPr>
          <w:pgSz w:w="16838" w:h="11906" w:orient="landscape"/>
          <w:pgMar w:top="1531" w:right="1701" w:bottom="1531" w:left="1701" w:header="851" w:footer="1077" w:gutter="0"/>
          <w:cols w:space="720" w:num="1"/>
          <w:docGrid w:linePitch="312" w:charSpace="0"/>
        </w:sectPr>
      </w:pPr>
    </w:p>
    <w:p>
      <w:pPr>
        <w:spacing w:line="360" w:lineRule="auto"/>
        <w:outlineLvl w:val="0"/>
        <w:rPr>
          <w:rFonts w:eastAsia="黑体"/>
          <w:color w:val="auto"/>
          <w:sz w:val="30"/>
        </w:rPr>
      </w:pPr>
    </w:p>
    <w:tbl>
      <w:tblPr>
        <w:tblStyle w:val="36"/>
        <w:tblW w:w="9714" w:type="dxa"/>
        <w:tblInd w:w="-268"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555"/>
        <w:gridCol w:w="91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93" w:hRule="atLeast"/>
        </w:trPr>
        <w:tc>
          <w:tcPr>
            <w:tcW w:w="555" w:type="dxa"/>
            <w:tcMar>
              <w:top w:w="16" w:type="dxa"/>
              <w:left w:w="16" w:type="dxa"/>
              <w:right w:w="16" w:type="dxa"/>
            </w:tcMar>
            <w:vAlign w:val="center"/>
          </w:tcPr>
          <w:p>
            <w:pPr>
              <w:autoSpaceDE w:val="0"/>
              <w:autoSpaceDN w:val="0"/>
              <w:adjustRightInd w:val="0"/>
              <w:snapToGrid w:val="0"/>
              <w:jc w:val="center"/>
              <w:rPr>
                <w:color w:val="auto"/>
                <w:kern w:val="0"/>
                <w:sz w:val="24"/>
              </w:rPr>
            </w:pPr>
          </w:p>
        </w:tc>
        <w:tc>
          <w:tcPr>
            <w:tcW w:w="9159" w:type="dxa"/>
            <w:tcMar>
              <w:top w:w="16" w:type="dxa"/>
              <w:left w:w="16" w:type="dxa"/>
              <w:right w:w="16" w:type="dxa"/>
            </w:tcMar>
            <w:vAlign w:val="center"/>
          </w:tcPr>
          <w:p>
            <w:pPr>
              <w:adjustRightInd w:val="0"/>
              <w:snapToGrid w:val="0"/>
              <w:spacing w:line="360" w:lineRule="auto"/>
              <w:ind w:firstLine="482" w:firstLineChars="200"/>
              <w:rPr>
                <w:b/>
                <w:bCs/>
                <w:color w:val="auto"/>
                <w:sz w:val="24"/>
                <w:lang w:bidi="zh-TW"/>
              </w:rPr>
            </w:pPr>
            <w:r>
              <w:rPr>
                <w:b/>
                <w:bCs/>
                <w:color w:val="auto"/>
                <w:sz w:val="24"/>
                <w:lang w:bidi="zh-TW"/>
              </w:rPr>
              <w:t>2、与《广元市人民政府关于落实生态保护红线、环境质量底线、资源利用上线和生态环境准入清单要求实施生态环境分区管控的通知》（广府发〔2021〕4号）符合性分析</w:t>
            </w:r>
          </w:p>
          <w:p>
            <w:pPr>
              <w:adjustRightInd w:val="0"/>
              <w:snapToGrid w:val="0"/>
              <w:spacing w:line="360" w:lineRule="auto"/>
              <w:ind w:firstLine="480" w:firstLineChars="200"/>
              <w:rPr>
                <w:bCs/>
                <w:color w:val="auto"/>
                <w:sz w:val="24"/>
                <w:lang w:bidi="zh-TW"/>
              </w:rPr>
            </w:pPr>
            <w:r>
              <w:rPr>
                <w:bCs/>
                <w:color w:val="auto"/>
                <w:sz w:val="24"/>
                <w:lang w:bidi="zh-TW"/>
              </w:rPr>
              <w:t>2021年6月20日，广元市人民政府发布了《关于落实生态保护红线、环境质量底线、资源利用上线和生态环境准入清单要求实施生态环境分区管控的通知》（广府发〔2021〕4号）。</w:t>
            </w:r>
          </w:p>
          <w:p>
            <w:pPr>
              <w:adjustRightInd w:val="0"/>
              <w:snapToGrid w:val="0"/>
              <w:spacing w:line="360" w:lineRule="auto"/>
              <w:ind w:firstLine="480" w:firstLineChars="200"/>
              <w:rPr>
                <w:bCs/>
                <w:color w:val="auto"/>
                <w:sz w:val="24"/>
                <w:lang w:bidi="zh-TW"/>
              </w:rPr>
            </w:pPr>
            <w:r>
              <w:rPr>
                <w:bCs/>
                <w:color w:val="auto"/>
                <w:sz w:val="24"/>
                <w:lang w:bidi="zh-TW"/>
              </w:rPr>
              <w:t>广元市划分优先保护、重点管控、一般管控三大类共66个环境管控单元。</w:t>
            </w:r>
          </w:p>
          <w:p>
            <w:pPr>
              <w:adjustRightInd w:val="0"/>
              <w:snapToGrid w:val="0"/>
              <w:spacing w:line="360" w:lineRule="auto"/>
              <w:ind w:firstLine="480" w:firstLineChars="200"/>
              <w:rPr>
                <w:bCs/>
                <w:color w:val="auto"/>
                <w:sz w:val="24"/>
                <w:lang w:bidi="zh-TW"/>
              </w:rPr>
            </w:pPr>
            <w:r>
              <w:rPr>
                <w:bCs/>
                <w:color w:val="auto"/>
                <w:sz w:val="24"/>
                <w:lang w:bidi="zh-TW"/>
              </w:rPr>
              <w:t>①优先保护单元。以生态环境保护为主的区域，全市划分优先保护单元26个。主要包括生态保护红线、饮用水水源保护区、国家公园、湿地公园、自然保护区等。</w:t>
            </w:r>
          </w:p>
          <w:p>
            <w:pPr>
              <w:adjustRightInd w:val="0"/>
              <w:snapToGrid w:val="0"/>
              <w:spacing w:line="360" w:lineRule="auto"/>
              <w:ind w:firstLine="480" w:firstLineChars="200"/>
              <w:rPr>
                <w:bCs/>
                <w:color w:val="auto"/>
                <w:sz w:val="24"/>
                <w:lang w:bidi="zh-TW"/>
              </w:rPr>
            </w:pPr>
            <w:r>
              <w:rPr>
                <w:bCs/>
                <w:color w:val="auto"/>
                <w:sz w:val="24"/>
                <w:lang w:bidi="zh-TW"/>
              </w:rPr>
              <w:t>②重点管控单元。涉及水、大气、土壤、自然资源等资源环境要素重点管控的区域，全市划分重点管控单元33个。其中：城镇重点单元7个，工业重点单元23个，环境要素重点单元3个。主要包括人口密集的城镇规划区和产业集聚的工业园区（集聚区）等。</w:t>
            </w:r>
          </w:p>
          <w:p>
            <w:pPr>
              <w:adjustRightInd w:val="0"/>
              <w:snapToGrid w:val="0"/>
              <w:spacing w:line="360" w:lineRule="auto"/>
              <w:ind w:firstLine="480" w:firstLineChars="200"/>
              <w:rPr>
                <w:bCs/>
                <w:color w:val="auto"/>
                <w:sz w:val="24"/>
                <w:lang w:bidi="zh-TW"/>
              </w:rPr>
            </w:pPr>
            <w:r>
              <w:rPr>
                <w:bCs/>
                <w:color w:val="auto"/>
                <w:sz w:val="24"/>
                <w:lang w:bidi="zh-TW"/>
              </w:rPr>
              <w:t>③一般管控单元。除优先保护单元和重点管控单元之外的其他区域，全市划分一般管控单元7个。</w:t>
            </w:r>
          </w:p>
          <w:p>
            <w:pPr>
              <w:adjustRightInd w:val="0"/>
              <w:snapToGrid w:val="0"/>
              <w:spacing w:line="360" w:lineRule="auto"/>
              <w:ind w:firstLine="480" w:firstLineChars="200"/>
              <w:rPr>
                <w:bCs/>
                <w:color w:val="auto"/>
                <w:sz w:val="24"/>
                <w:lang w:bidi="zh-TW"/>
              </w:rPr>
            </w:pPr>
            <w:r>
              <w:rPr>
                <w:bCs/>
                <w:color w:val="auto"/>
                <w:sz w:val="24"/>
                <w:lang w:bidi="zh-TW"/>
              </w:rPr>
              <w:t>本项目所在地与广元市环境管控单元分区详见下图。</w:t>
            </w:r>
          </w:p>
          <w:p>
            <w:pPr>
              <w:adjustRightInd w:val="0"/>
              <w:snapToGrid w:val="0"/>
              <w:spacing w:line="360" w:lineRule="auto"/>
              <w:jc w:val="center"/>
              <w:rPr>
                <w:b/>
                <w:color w:val="auto"/>
                <w:szCs w:val="21"/>
              </w:rPr>
            </w:pPr>
            <w:r>
              <w:rPr>
                <w:b/>
                <w:color w:val="auto"/>
                <w:sz w:val="24"/>
              </w:rPr>
              <mc:AlternateContent>
                <mc:Choice Requires="wps">
                  <w:drawing>
                    <wp:anchor distT="0" distB="0" distL="114300" distR="114300" simplePos="0" relativeHeight="251660288" behindDoc="0" locked="0" layoutInCell="1" allowOverlap="1">
                      <wp:simplePos x="0" y="0"/>
                      <wp:positionH relativeFrom="column">
                        <wp:posOffset>2724150</wp:posOffset>
                      </wp:positionH>
                      <wp:positionV relativeFrom="paragraph">
                        <wp:posOffset>1449705</wp:posOffset>
                      </wp:positionV>
                      <wp:extent cx="999490" cy="310515"/>
                      <wp:effectExtent l="73660" t="344170" r="12700" b="12065"/>
                      <wp:wrapNone/>
                      <wp:docPr id="19" name="对话气泡: 矩形 1"/>
                      <wp:cNvGraphicFramePr/>
                      <a:graphic xmlns:a="http://schemas.openxmlformats.org/drawingml/2006/main">
                        <a:graphicData uri="http://schemas.microsoft.com/office/word/2010/wordprocessingShape">
                          <wps:wsp>
                            <wps:cNvSpPr/>
                            <wps:spPr bwMode="auto">
                              <a:xfrm>
                                <a:off x="0" y="0"/>
                                <a:ext cx="999490" cy="310515"/>
                              </a:xfrm>
                              <a:prstGeom prst="wedgeRectCallout">
                                <a:avLst>
                                  <a:gd name="adj1" fmla="val -54955"/>
                                  <a:gd name="adj2" fmla="val -153067"/>
                                </a:avLst>
                              </a:prstGeom>
                              <a:solidFill>
                                <a:srgbClr val="FFFFFF"/>
                              </a:solidFill>
                              <a:ln w="12700">
                                <a:solidFill>
                                  <a:srgbClr val="000000"/>
                                </a:solidFill>
                                <a:miter lim="800000"/>
                              </a:ln>
                            </wps:spPr>
                            <wps:txbx>
                              <w:txbxContent>
                                <w:p>
                                  <w:pPr>
                                    <w:jc w:val="center"/>
                                    <w:rPr>
                                      <w:color w:val="000000"/>
                                    </w:rPr>
                                  </w:pPr>
                                  <w:r>
                                    <w:rPr>
                                      <w:rFonts w:hint="eastAsia"/>
                                      <w:color w:val="000000"/>
                                    </w:rPr>
                                    <w:t>本项目位置</w:t>
                                  </w:r>
                                </w:p>
                              </w:txbxContent>
                            </wps:txbx>
                            <wps:bodyPr rot="0" vert="horz" wrap="square" lIns="91440" tIns="45720" rIns="91440" bIns="45720" anchor="ctr" anchorCtr="0" upright="1">
                              <a:noAutofit/>
                            </wps:bodyPr>
                          </wps:wsp>
                        </a:graphicData>
                      </a:graphic>
                    </wp:anchor>
                  </w:drawing>
                </mc:Choice>
                <mc:Fallback>
                  <w:pict>
                    <v:shape id="对话气泡: 矩形 1" o:spid="_x0000_s1026" o:spt="61" type="#_x0000_t61" style="position:absolute;left:0pt;margin-left:214.5pt;margin-top:114.15pt;height:24.45pt;width:78.7pt;z-index:251660288;v-text-anchor:middle;mso-width-relative:page;mso-height-relative:page;" fillcolor="#FFFFFF" filled="t" stroked="t" coordsize="21600,21600" o:gfxdata="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4mI+rbAAAACwEAAA8AAAAAAAAAAQAgAAAAIgAAAGRycy9kb3ducmV2LnhtbFBL&#10;AQIUABQAAAAIAIdO4kCMpI31ZQIAALsEAAAOAAAAAAAAAAEAIAAAACoBAABkcnMvZTJvRG9jLnht&#10;bFBLBQYAAAAABgAGAFkBAAABBgAAAAA=&#10;" adj="-1070,-22262">
                      <v:fill on="t" focussize="0,0"/>
                      <v:stroke weight="1pt" color="#000000" miterlimit="8" joinstyle="miter"/>
                      <v:imagedata o:title=""/>
                      <o:lock v:ext="edit" aspectratio="f"/>
                      <v:textbox>
                        <w:txbxContent>
                          <w:p>
                            <w:pPr>
                              <w:jc w:val="center"/>
                              <w:rPr>
                                <w:color w:val="000000"/>
                              </w:rPr>
                            </w:pPr>
                            <w:r>
                              <w:rPr>
                                <w:rFonts w:hint="eastAsia"/>
                                <w:color w:val="000000"/>
                              </w:rPr>
                              <w:t>本项目位置</w:t>
                            </w:r>
                          </w:p>
                        </w:txbxContent>
                      </v:textbox>
                    </v:shape>
                  </w:pict>
                </mc:Fallback>
              </mc:AlternateContent>
            </w:r>
            <w:r>
              <w:rPr>
                <w:rFonts w:eastAsia="方正小标宋简体"/>
                <w:b/>
                <w:bCs/>
                <w:color w:val="auto"/>
                <w:sz w:val="44"/>
                <w:szCs w:val="44"/>
              </w:rPr>
              <w:drawing>
                <wp:inline distT="0" distB="0" distL="114300" distR="114300">
                  <wp:extent cx="5645785" cy="3458845"/>
                  <wp:effectExtent l="0" t="0" r="12065" b="8255"/>
                  <wp:docPr id="2" name="图片 2" descr="微信图片_2021061115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10611150518"/>
                          <pic:cNvPicPr>
                            <a:picLocks noChangeAspect="1"/>
                          </pic:cNvPicPr>
                        </pic:nvPicPr>
                        <pic:blipFill>
                          <a:blip r:embed="rId14" cstate="print"/>
                          <a:stretch>
                            <a:fillRect/>
                          </a:stretch>
                        </pic:blipFill>
                        <pic:spPr>
                          <a:xfrm>
                            <a:off x="0" y="0"/>
                            <a:ext cx="5645785" cy="3458845"/>
                          </a:xfrm>
                          <a:prstGeom prst="rect">
                            <a:avLst/>
                          </a:prstGeom>
                        </pic:spPr>
                      </pic:pic>
                    </a:graphicData>
                  </a:graphic>
                </wp:inline>
              </w:drawing>
            </w:r>
          </w:p>
          <w:p>
            <w:pPr>
              <w:pStyle w:val="63"/>
              <w:numPr>
                <w:ilvl w:val="0"/>
                <w:numId w:val="4"/>
              </w:numPr>
              <w:adjustRightInd w:val="0"/>
              <w:snapToGrid w:val="0"/>
              <w:spacing w:line="360" w:lineRule="auto"/>
              <w:rPr>
                <w:b/>
                <w:color w:val="auto"/>
                <w:szCs w:val="21"/>
              </w:rPr>
            </w:pPr>
            <w:r>
              <w:rPr>
                <w:b/>
                <w:color w:val="auto"/>
                <w:szCs w:val="21"/>
              </w:rPr>
              <w:t>广元市环境管控单元分布图</w:t>
            </w:r>
          </w:p>
          <w:p>
            <w:pPr>
              <w:adjustRightInd w:val="0"/>
              <w:snapToGrid w:val="0"/>
              <w:spacing w:line="360" w:lineRule="auto"/>
              <w:jc w:val="center"/>
              <w:rPr>
                <w:b/>
                <w:color w:val="auto"/>
                <w:szCs w:val="21"/>
              </w:rPr>
            </w:pPr>
            <w:r>
              <w:rPr>
                <w:color w:val="auto"/>
              </w:rPr>
              <w:drawing>
                <wp:inline distT="0" distB="0" distL="114300" distR="114300">
                  <wp:extent cx="5788660" cy="3040380"/>
                  <wp:effectExtent l="0" t="0" r="2540" b="762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5"/>
                          <a:stretch>
                            <a:fillRect/>
                          </a:stretch>
                        </pic:blipFill>
                        <pic:spPr>
                          <a:xfrm>
                            <a:off x="0" y="0"/>
                            <a:ext cx="5788660" cy="3040380"/>
                          </a:xfrm>
                          <a:prstGeom prst="rect">
                            <a:avLst/>
                          </a:prstGeom>
                          <a:noFill/>
                          <a:ln>
                            <a:noFill/>
                          </a:ln>
                        </pic:spPr>
                      </pic:pic>
                    </a:graphicData>
                  </a:graphic>
                </wp:inline>
              </w:drawing>
            </w:r>
          </w:p>
          <w:p>
            <w:pPr>
              <w:pStyle w:val="63"/>
              <w:numPr>
                <w:ilvl w:val="0"/>
                <w:numId w:val="4"/>
              </w:numPr>
              <w:adjustRightInd w:val="0"/>
              <w:snapToGrid w:val="0"/>
              <w:spacing w:line="360" w:lineRule="auto"/>
              <w:rPr>
                <w:b/>
                <w:color w:val="auto"/>
                <w:szCs w:val="21"/>
              </w:rPr>
            </w:pPr>
            <w:r>
              <w:rPr>
                <w:b/>
                <w:color w:val="auto"/>
                <w:szCs w:val="21"/>
              </w:rPr>
              <w:t>本项目所在地环境管控单元示意图</w:t>
            </w:r>
          </w:p>
          <w:p>
            <w:pPr>
              <w:adjustRightInd w:val="0"/>
              <w:snapToGrid w:val="0"/>
              <w:spacing w:line="360" w:lineRule="auto"/>
              <w:ind w:firstLine="480" w:firstLineChars="200"/>
              <w:rPr>
                <w:bCs/>
                <w:color w:val="auto"/>
                <w:sz w:val="24"/>
                <w:lang w:bidi="zh-TW"/>
              </w:rPr>
            </w:pPr>
            <w:r>
              <w:rPr>
                <w:bCs/>
                <w:color w:val="auto"/>
                <w:sz w:val="24"/>
                <w:lang w:bidi="zh-TW"/>
              </w:rPr>
              <w:t>由上图可见，本项目</w:t>
            </w:r>
            <w:r>
              <w:rPr>
                <w:rFonts w:hint="default" w:ascii="Times New Roman" w:hAnsi="Times New Roman" w:cs="Times New Roman"/>
                <w:bCs/>
                <w:color w:val="auto"/>
                <w:sz w:val="24"/>
                <w:lang w:val="en-US" w:eastAsia="zh-CN" w:bidi="zh-TW"/>
              </w:rPr>
              <w:t>跨越了“</w:t>
            </w:r>
            <w:r>
              <w:rPr>
                <w:rFonts w:hint="default" w:ascii="Times New Roman" w:hAnsi="Times New Roman" w:cs="Times New Roman"/>
                <w:bCs/>
                <w:color w:val="auto"/>
                <w:sz w:val="24"/>
                <w:lang w:bidi="zh-TW"/>
              </w:rPr>
              <w:t>优先保护单元</w:t>
            </w:r>
            <w:r>
              <w:rPr>
                <w:rFonts w:hint="default" w:ascii="Times New Roman" w:hAnsi="Times New Roman" w:cs="Times New Roman"/>
                <w:bCs/>
                <w:color w:val="auto"/>
                <w:sz w:val="24"/>
                <w:lang w:eastAsia="zh-CN" w:bidi="zh-TW"/>
              </w:rPr>
              <w:t>”、“</w:t>
            </w:r>
            <w:r>
              <w:rPr>
                <w:rFonts w:hint="default" w:ascii="Times New Roman" w:hAnsi="Times New Roman" w:cs="Times New Roman"/>
                <w:bCs/>
                <w:color w:val="auto"/>
                <w:sz w:val="24"/>
                <w:lang w:val="en-US" w:eastAsia="zh-CN" w:bidi="zh-TW"/>
              </w:rPr>
              <w:t>要素重点管控单元</w:t>
            </w:r>
            <w:r>
              <w:rPr>
                <w:rFonts w:hint="default" w:ascii="Times New Roman" w:hAnsi="Times New Roman" w:cs="Times New Roman"/>
                <w:bCs/>
                <w:color w:val="auto"/>
                <w:sz w:val="24"/>
                <w:lang w:eastAsia="zh-CN" w:bidi="zh-TW"/>
              </w:rPr>
              <w:t>”</w:t>
            </w:r>
            <w:r>
              <w:rPr>
                <w:rFonts w:hint="default" w:ascii="Times New Roman" w:hAnsi="Times New Roman" w:cs="Times New Roman"/>
                <w:bCs/>
                <w:color w:val="auto"/>
                <w:sz w:val="24"/>
                <w:lang w:val="en-US" w:eastAsia="zh-CN" w:bidi="zh-TW"/>
              </w:rPr>
              <w:t>及“工业重点管控单元”</w:t>
            </w:r>
            <w:r>
              <w:rPr>
                <w:bCs/>
                <w:color w:val="auto"/>
                <w:sz w:val="24"/>
                <w:lang w:bidi="zh-TW"/>
              </w:rPr>
              <w:t>。本项目采取严格的环境保护措施，废气、废水、噪声经治理后均可以达标排放，固废妥善处置，环境风险可控，对当地环境没有明显的影响。本项目建设符合广元市环境管控单元生态环境管控要求。</w:t>
            </w:r>
          </w:p>
          <w:p>
            <w:pPr>
              <w:adjustRightInd w:val="0"/>
              <w:snapToGrid w:val="0"/>
              <w:spacing w:line="360" w:lineRule="auto"/>
              <w:ind w:firstLine="480" w:firstLineChars="200"/>
              <w:rPr>
                <w:bCs/>
                <w:color w:val="auto"/>
                <w:sz w:val="24"/>
                <w:lang w:bidi="zh-TW"/>
              </w:rPr>
            </w:pPr>
            <w:r>
              <w:rPr>
                <w:bCs/>
                <w:color w:val="auto"/>
                <w:sz w:val="24"/>
                <w:lang w:bidi="zh-TW"/>
              </w:rPr>
              <w:t>项目与《广元市生态环境准入总体要求》以及《广元市各县（区）生态环境准入总体要求》的符合性见下表。</w:t>
            </w:r>
          </w:p>
          <w:p>
            <w:pPr>
              <w:pStyle w:val="63"/>
              <w:numPr>
                <w:ilvl w:val="0"/>
                <w:numId w:val="5"/>
              </w:numPr>
              <w:autoSpaceDE w:val="0"/>
              <w:autoSpaceDN w:val="0"/>
              <w:adjustRightInd w:val="0"/>
              <w:snapToGrid w:val="0"/>
              <w:ind w:left="0" w:firstLine="0"/>
              <w:rPr>
                <w:b/>
                <w:color w:val="auto"/>
                <w:szCs w:val="21"/>
              </w:rPr>
            </w:pPr>
            <w:r>
              <w:rPr>
                <w:b/>
                <w:color w:val="auto"/>
                <w:szCs w:val="21"/>
              </w:rPr>
              <w:t>与生态环境准入相关要求的符合性分析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27"/>
              <w:gridCol w:w="5568"/>
              <w:gridCol w:w="2092"/>
              <w:gridCol w:w="6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9" w:type="pct"/>
                  <w:vAlign w:val="center"/>
                </w:tcPr>
                <w:p>
                  <w:pPr>
                    <w:widowControl/>
                    <w:jc w:val="center"/>
                    <w:rPr>
                      <w:color w:val="auto"/>
                      <w:szCs w:val="21"/>
                    </w:rPr>
                  </w:pPr>
                  <w:r>
                    <w:rPr>
                      <w:b/>
                      <w:bCs/>
                      <w:color w:val="auto"/>
                      <w:kern w:val="0"/>
                      <w:szCs w:val="21"/>
                    </w:rPr>
                    <w:t>序号</w:t>
                  </w:r>
                </w:p>
              </w:tc>
              <w:tc>
                <w:tcPr>
                  <w:tcW w:w="240" w:type="pct"/>
                  <w:vAlign w:val="center"/>
                </w:tcPr>
                <w:p>
                  <w:pPr>
                    <w:widowControl/>
                    <w:jc w:val="center"/>
                    <w:rPr>
                      <w:b/>
                      <w:bCs/>
                      <w:color w:val="auto"/>
                      <w:kern w:val="0"/>
                      <w:szCs w:val="21"/>
                    </w:rPr>
                  </w:pPr>
                  <w:r>
                    <w:rPr>
                      <w:b/>
                      <w:bCs/>
                      <w:color w:val="auto"/>
                      <w:kern w:val="0"/>
                      <w:szCs w:val="21"/>
                    </w:rPr>
                    <w:t>类别</w:t>
                  </w:r>
                </w:p>
              </w:tc>
              <w:tc>
                <w:tcPr>
                  <w:tcW w:w="3056" w:type="pct"/>
                  <w:vAlign w:val="center"/>
                </w:tcPr>
                <w:p>
                  <w:pPr>
                    <w:widowControl/>
                    <w:jc w:val="center"/>
                    <w:rPr>
                      <w:b/>
                      <w:bCs/>
                      <w:color w:val="auto"/>
                      <w:kern w:val="0"/>
                      <w:szCs w:val="21"/>
                    </w:rPr>
                  </w:pPr>
                  <w:r>
                    <w:rPr>
                      <w:b/>
                      <w:bCs/>
                      <w:color w:val="auto"/>
                      <w:kern w:val="0"/>
                      <w:szCs w:val="21"/>
                    </w:rPr>
                    <w:t>要求</w:t>
                  </w:r>
                </w:p>
              </w:tc>
              <w:tc>
                <w:tcPr>
                  <w:tcW w:w="1152" w:type="pct"/>
                  <w:vAlign w:val="center"/>
                </w:tcPr>
                <w:p>
                  <w:pPr>
                    <w:widowControl/>
                    <w:jc w:val="center"/>
                    <w:rPr>
                      <w:b/>
                      <w:bCs/>
                      <w:color w:val="auto"/>
                      <w:kern w:val="0"/>
                      <w:szCs w:val="21"/>
                    </w:rPr>
                  </w:pPr>
                  <w:r>
                    <w:rPr>
                      <w:b/>
                      <w:bCs/>
                      <w:color w:val="auto"/>
                      <w:kern w:val="0"/>
                      <w:szCs w:val="21"/>
                    </w:rPr>
                    <w:t>本项目</w:t>
                  </w:r>
                </w:p>
              </w:tc>
              <w:tc>
                <w:tcPr>
                  <w:tcW w:w="342"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1</w:t>
                  </w:r>
                </w:p>
              </w:tc>
              <w:tc>
                <w:tcPr>
                  <w:tcW w:w="240" w:type="pct"/>
                  <w:vMerge w:val="restart"/>
                  <w:vAlign w:val="center"/>
                </w:tcPr>
                <w:p>
                  <w:pPr>
                    <w:pStyle w:val="83"/>
                    <w:widowControl/>
                    <w:spacing w:line="240" w:lineRule="auto"/>
                    <w:ind w:firstLine="0" w:firstLineChars="0"/>
                    <w:jc w:val="center"/>
                    <w:rPr>
                      <w:rFonts w:eastAsia="宋体"/>
                      <w:color w:val="auto"/>
                      <w:sz w:val="21"/>
                    </w:rPr>
                  </w:pPr>
                  <w:r>
                    <w:rPr>
                      <w:rFonts w:eastAsia="宋体"/>
                      <w:color w:val="auto"/>
                      <w:sz w:val="21"/>
                    </w:rPr>
                    <w:t>广元市</w:t>
                  </w:r>
                </w:p>
              </w:tc>
              <w:tc>
                <w:tcPr>
                  <w:tcW w:w="3056"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长江干支流岸线一公里范围不得新建、扩建化工园区和化工项目。长江干流岸线三公里范围内和重要支流岸线一公里范围内不得新建、改建、扩建尾矿库；但是以提升安全、生态环境保护水平为目的的改建除外。</w:t>
                  </w:r>
                </w:p>
              </w:tc>
              <w:tc>
                <w:tcPr>
                  <w:tcW w:w="1152"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本项目为防洪治理工程，不属于化工项目，不涉及建造尾矿库。</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2</w:t>
                  </w:r>
                </w:p>
              </w:tc>
              <w:tc>
                <w:tcPr>
                  <w:tcW w:w="240" w:type="pct"/>
                  <w:vMerge w:val="continue"/>
                  <w:vAlign w:val="center"/>
                </w:tcPr>
                <w:p>
                  <w:pPr>
                    <w:pStyle w:val="83"/>
                    <w:widowControl/>
                    <w:spacing w:line="240" w:lineRule="auto"/>
                    <w:ind w:firstLine="0" w:firstLineChars="0"/>
                    <w:jc w:val="center"/>
                    <w:rPr>
                      <w:rFonts w:eastAsia="宋体"/>
                      <w:color w:val="auto"/>
                      <w:sz w:val="21"/>
                    </w:rPr>
                  </w:pPr>
                </w:p>
              </w:tc>
              <w:tc>
                <w:tcPr>
                  <w:tcW w:w="3056"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结合地区资源环境禀赋，合理布局承接产业，加强环保基础设施建设，确保环境质量不降低。承接钢铁、电解铝等产业转移地区应严格落实生态环境分区管控要求，将环境质量底线作为硬约束。</w:t>
                  </w:r>
                </w:p>
              </w:tc>
              <w:tc>
                <w:tcPr>
                  <w:tcW w:w="1152"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本项目为防洪治理工程，项目建成后环境质量不降低。不涉及钢铁、电解铝等产业。</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3</w:t>
                  </w:r>
                </w:p>
              </w:tc>
              <w:tc>
                <w:tcPr>
                  <w:tcW w:w="240" w:type="pct"/>
                  <w:vMerge w:val="restart"/>
                  <w:vAlign w:val="center"/>
                </w:tcPr>
                <w:p>
                  <w:pPr>
                    <w:pStyle w:val="83"/>
                    <w:widowControl/>
                    <w:spacing w:line="240" w:lineRule="auto"/>
                    <w:ind w:firstLine="0" w:firstLineChars="0"/>
                    <w:jc w:val="center"/>
                    <w:rPr>
                      <w:rFonts w:eastAsia="宋体"/>
                      <w:color w:val="auto"/>
                      <w:sz w:val="21"/>
                    </w:rPr>
                  </w:pPr>
                  <w:r>
                    <w:rPr>
                      <w:rFonts w:eastAsia="宋体"/>
                      <w:color w:val="auto"/>
                      <w:sz w:val="21"/>
                    </w:rPr>
                    <w:t>朝天区</w:t>
                  </w:r>
                </w:p>
              </w:tc>
              <w:tc>
                <w:tcPr>
                  <w:tcW w:w="3056"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与嘉陵江上游汉中市、陇南市建立全过程、多层级环境风险防范体系，强化应对突发水环境污染事件的环境风险应急演练。强化危化品泄漏应急处置措施，实行流域联防联控，确保风险可控。</w:t>
                  </w:r>
                </w:p>
              </w:tc>
              <w:tc>
                <w:tcPr>
                  <w:tcW w:w="1152"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本项目按要求进行环境风险防范</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9"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4</w:t>
                  </w:r>
                </w:p>
              </w:tc>
              <w:tc>
                <w:tcPr>
                  <w:tcW w:w="240" w:type="pct"/>
                  <w:vMerge w:val="continue"/>
                  <w:vAlign w:val="center"/>
                </w:tcPr>
                <w:p>
                  <w:pPr>
                    <w:pStyle w:val="83"/>
                    <w:widowControl/>
                    <w:spacing w:line="240" w:lineRule="auto"/>
                    <w:ind w:firstLine="0" w:firstLineChars="0"/>
                    <w:jc w:val="center"/>
                    <w:rPr>
                      <w:rFonts w:eastAsia="宋体"/>
                      <w:color w:val="auto"/>
                      <w:sz w:val="21"/>
                    </w:rPr>
                  </w:pPr>
                </w:p>
              </w:tc>
              <w:tc>
                <w:tcPr>
                  <w:tcW w:w="3056" w:type="pct"/>
                  <w:vAlign w:val="center"/>
                </w:tcPr>
                <w:p>
                  <w:pPr>
                    <w:jc w:val="left"/>
                    <w:rPr>
                      <w:color w:val="auto"/>
                    </w:rPr>
                  </w:pPr>
                  <w:r>
                    <w:rPr>
                      <w:color w:val="auto"/>
                    </w:rPr>
                    <w:t>加强港口码头和船舶污染防治。提升城乡污水收集处理能力，因地制宜推进城镇生活污水处理设施提标改造工作。加快推进《广元市城镇污水处理设施建设三年推进实施方案（</w:t>
                  </w:r>
                  <w:r>
                    <w:rPr>
                      <w:rFonts w:eastAsia="Times New Roman"/>
                      <w:color w:val="auto"/>
                    </w:rPr>
                    <w:t>2021-2023</w:t>
                  </w:r>
                  <w:r>
                    <w:rPr>
                      <w:color w:val="auto"/>
                    </w:rPr>
                    <w:t>）年》。</w:t>
                  </w:r>
                </w:p>
              </w:tc>
              <w:tc>
                <w:tcPr>
                  <w:tcW w:w="1152"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本项目废水均合理处置，不外排。</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bl>
          <w:p>
            <w:pPr>
              <w:adjustRightInd w:val="0"/>
              <w:snapToGrid w:val="0"/>
              <w:spacing w:line="360" w:lineRule="auto"/>
              <w:ind w:firstLine="480" w:firstLineChars="200"/>
              <w:rPr>
                <w:bCs/>
                <w:color w:val="auto"/>
                <w:sz w:val="24"/>
                <w:lang w:bidi="zh-TW"/>
              </w:rPr>
            </w:pPr>
            <w:r>
              <w:rPr>
                <w:bCs/>
                <w:color w:val="auto"/>
                <w:sz w:val="24"/>
                <w:lang w:bidi="zh-TW"/>
              </w:rPr>
              <w:t>综上，本项目与《广元市生态环境准入总体要求》以及《广元市各县（区）生态环境准入总体要求》相符。</w:t>
            </w:r>
          </w:p>
          <w:p>
            <w:pPr>
              <w:adjustRightInd w:val="0"/>
              <w:snapToGrid w:val="0"/>
              <w:spacing w:line="360" w:lineRule="auto"/>
              <w:ind w:firstLine="480" w:firstLineChars="200"/>
              <w:rPr>
                <w:bCs/>
                <w:color w:val="auto"/>
                <w:sz w:val="24"/>
                <w:lang w:bidi="zh-TW"/>
              </w:rPr>
            </w:pPr>
            <w:r>
              <w:rPr>
                <w:bCs/>
                <w:color w:val="auto"/>
                <w:sz w:val="24"/>
                <w:lang w:bidi="zh-TW"/>
              </w:rPr>
              <w:t>由上述分析可知，本项目建设符合广元市《关于落实生态保护红线、环境质量底线、资源利用上线和生态环境准入清单要求实施生态环境分区管控的通知》。</w:t>
            </w:r>
          </w:p>
          <w:p>
            <w:pPr>
              <w:widowControl/>
              <w:tabs>
                <w:tab w:val="left" w:pos="7472"/>
              </w:tabs>
              <w:adjustRightInd w:val="0"/>
              <w:spacing w:line="360" w:lineRule="auto"/>
              <w:textAlignment w:val="baseline"/>
              <w:rPr>
                <w:b/>
                <w:bCs/>
                <w:color w:val="auto"/>
                <w:kern w:val="24"/>
                <w:sz w:val="24"/>
              </w:rPr>
            </w:pPr>
            <w:r>
              <w:rPr>
                <w:b/>
                <w:bCs/>
                <w:color w:val="auto"/>
                <w:kern w:val="24"/>
                <w:sz w:val="24"/>
              </w:rPr>
              <w:t>二、项目与《中华人民共和国自然保护区条例》《四川省自然保护区管理条例》符合性分析</w:t>
            </w:r>
          </w:p>
          <w:p>
            <w:pPr>
              <w:spacing w:line="360" w:lineRule="auto"/>
              <w:ind w:firstLine="480" w:firstLineChars="200"/>
              <w:rPr>
                <w:color w:val="auto"/>
                <w:kern w:val="24"/>
                <w:sz w:val="24"/>
              </w:rPr>
            </w:pPr>
            <w:r>
              <w:rPr>
                <w:color w:val="auto"/>
                <w:sz w:val="24"/>
              </w:rPr>
              <w:t>本项目部分建设段处于</w:t>
            </w:r>
            <w:r>
              <w:rPr>
                <w:bCs/>
                <w:color w:val="auto"/>
                <w:sz w:val="24"/>
              </w:rPr>
              <w:t>四川嘉陵江源市级湿地自然保护区实验区</w:t>
            </w:r>
            <w:r>
              <w:rPr>
                <w:color w:val="auto"/>
                <w:sz w:val="24"/>
              </w:rPr>
              <w:t>内，长度约1883m（2段堤防1609m，围堰274m，工程清淤区位于保护区外侧）。本项目与</w:t>
            </w:r>
            <w:r>
              <w:rPr>
                <w:bCs/>
                <w:color w:val="auto"/>
                <w:sz w:val="24"/>
              </w:rPr>
              <w:t>《中华人民共和国自然保护区条例》（</w:t>
            </w:r>
            <w:r>
              <w:rPr>
                <w:color w:val="auto"/>
                <w:sz w:val="24"/>
              </w:rPr>
              <w:t>国务院令第687号），与《</w:t>
            </w:r>
            <w:r>
              <w:rPr>
                <w:bCs/>
                <w:color w:val="auto"/>
                <w:sz w:val="24"/>
              </w:rPr>
              <w:t>四川省自然保护区管理条例》（</w:t>
            </w:r>
            <w:r>
              <w:rPr>
                <w:color w:val="auto"/>
                <w:sz w:val="24"/>
              </w:rPr>
              <w:t>2009年3月27日修正，2000年1月1日实施）相关保护要求的符合性分析见下表。</w:t>
            </w:r>
          </w:p>
          <w:p>
            <w:pPr>
              <w:pStyle w:val="63"/>
              <w:numPr>
                <w:ilvl w:val="0"/>
                <w:numId w:val="5"/>
              </w:numPr>
              <w:autoSpaceDE w:val="0"/>
              <w:autoSpaceDN w:val="0"/>
              <w:adjustRightInd w:val="0"/>
              <w:snapToGrid w:val="0"/>
              <w:ind w:left="0" w:firstLine="0"/>
              <w:rPr>
                <w:b/>
                <w:color w:val="auto"/>
                <w:szCs w:val="21"/>
              </w:rPr>
            </w:pPr>
            <w:r>
              <w:rPr>
                <w:b/>
                <w:color w:val="auto"/>
                <w:szCs w:val="21"/>
              </w:rPr>
              <w:t>与《中华人民共和国自然保护区条例》《四川省自然保护区管理条例》的符合性分析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5188"/>
              <w:gridCol w:w="2175"/>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Align w:val="center"/>
                </w:tcPr>
                <w:p>
                  <w:pPr>
                    <w:widowControl/>
                    <w:jc w:val="center"/>
                    <w:rPr>
                      <w:b/>
                      <w:bCs/>
                      <w:color w:val="auto"/>
                      <w:kern w:val="0"/>
                      <w:szCs w:val="21"/>
                    </w:rPr>
                  </w:pPr>
                  <w:r>
                    <w:rPr>
                      <w:b/>
                      <w:bCs/>
                      <w:color w:val="auto"/>
                      <w:kern w:val="0"/>
                      <w:szCs w:val="21"/>
                    </w:rPr>
                    <w:t>文件</w:t>
                  </w:r>
                </w:p>
              </w:tc>
              <w:tc>
                <w:tcPr>
                  <w:tcW w:w="2841" w:type="pct"/>
                  <w:vAlign w:val="center"/>
                </w:tcPr>
                <w:p>
                  <w:pPr>
                    <w:widowControl/>
                    <w:jc w:val="center"/>
                    <w:rPr>
                      <w:b/>
                      <w:bCs/>
                      <w:color w:val="auto"/>
                      <w:kern w:val="0"/>
                      <w:szCs w:val="21"/>
                    </w:rPr>
                  </w:pPr>
                  <w:r>
                    <w:rPr>
                      <w:b/>
                      <w:bCs/>
                      <w:color w:val="auto"/>
                      <w:kern w:val="0"/>
                      <w:szCs w:val="21"/>
                    </w:rPr>
                    <w:t>内容</w:t>
                  </w:r>
                </w:p>
              </w:tc>
              <w:tc>
                <w:tcPr>
                  <w:tcW w:w="1191" w:type="pct"/>
                  <w:vAlign w:val="center"/>
                </w:tcPr>
                <w:p>
                  <w:pPr>
                    <w:widowControl/>
                    <w:jc w:val="center"/>
                    <w:rPr>
                      <w:b/>
                      <w:bCs/>
                      <w:color w:val="auto"/>
                      <w:kern w:val="0"/>
                      <w:szCs w:val="21"/>
                    </w:rPr>
                  </w:pPr>
                  <w:r>
                    <w:rPr>
                      <w:b/>
                      <w:bCs/>
                      <w:color w:val="auto"/>
                      <w:kern w:val="0"/>
                      <w:szCs w:val="21"/>
                    </w:rPr>
                    <w:t>本项目</w:t>
                  </w:r>
                </w:p>
              </w:tc>
              <w:tc>
                <w:tcPr>
                  <w:tcW w:w="517"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restart"/>
                  <w:vAlign w:val="center"/>
                </w:tcPr>
                <w:p>
                  <w:pPr>
                    <w:pStyle w:val="83"/>
                    <w:widowControl/>
                    <w:spacing w:line="240" w:lineRule="auto"/>
                    <w:ind w:firstLine="0" w:firstLineChars="0"/>
                    <w:jc w:val="center"/>
                    <w:rPr>
                      <w:rFonts w:eastAsia="宋体"/>
                      <w:color w:val="auto"/>
                      <w:sz w:val="21"/>
                    </w:rPr>
                  </w:pPr>
                  <w:r>
                    <w:rPr>
                      <w:rFonts w:eastAsia="宋体"/>
                      <w:color w:val="auto"/>
                      <w:sz w:val="21"/>
                    </w:rPr>
                    <w:t>《中华人民共和国自然保护区条例》</w:t>
                  </w:r>
                </w:p>
              </w:tc>
              <w:tc>
                <w:tcPr>
                  <w:tcW w:w="2841" w:type="pct"/>
                  <w:vAlign w:val="center"/>
                </w:tcPr>
                <w:p>
                  <w:pPr>
                    <w:jc w:val="left"/>
                    <w:rPr>
                      <w:color w:val="auto"/>
                    </w:rPr>
                  </w:pPr>
                  <w:r>
                    <w:rPr>
                      <w:color w:val="auto"/>
                    </w:rPr>
                    <w:t>第二十六条 禁止在自然保护区内进行砍伐、放牧、狩猎、捕捞、采药、开垦、烧荒、开矿、采石、挖沙等活动；但法律、行政法规另有规定的除外。</w:t>
                  </w:r>
                </w:p>
              </w:tc>
              <w:tc>
                <w:tcPr>
                  <w:tcW w:w="1191"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本项目为防洪治理工程，不存在砍伐，不涉及烧荒、未在保护区内开矿、采石、挖沙等活动。</w:t>
                  </w: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continue"/>
                  <w:vAlign w:val="center"/>
                </w:tcPr>
                <w:p>
                  <w:pPr>
                    <w:pStyle w:val="83"/>
                    <w:widowControl/>
                    <w:spacing w:line="240" w:lineRule="auto"/>
                    <w:ind w:firstLine="0" w:firstLineChars="0"/>
                    <w:jc w:val="center"/>
                    <w:rPr>
                      <w:rFonts w:eastAsia="宋体"/>
                      <w:color w:val="auto"/>
                      <w:sz w:val="21"/>
                    </w:rPr>
                  </w:pPr>
                </w:p>
              </w:tc>
              <w:tc>
                <w:tcPr>
                  <w:tcW w:w="2841" w:type="pct"/>
                  <w:vAlign w:val="center"/>
                </w:tcPr>
                <w:p>
                  <w:pPr>
                    <w:jc w:val="left"/>
                    <w:rPr>
                      <w:color w:val="auto"/>
                    </w:rPr>
                  </w:pPr>
                  <w:r>
                    <w:rPr>
                      <w:color w:val="auto"/>
                    </w:rPr>
                    <w:t>第二十七条 禁止任何人进入自然保护区的核心区。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w:t>
                  </w:r>
                </w:p>
              </w:tc>
              <w:tc>
                <w:tcPr>
                  <w:tcW w:w="1191" w:type="pct"/>
                  <w:vMerge w:val="restart"/>
                  <w:vAlign w:val="center"/>
                </w:tcPr>
                <w:p>
                  <w:pPr>
                    <w:pStyle w:val="83"/>
                    <w:widowControl/>
                    <w:spacing w:line="240" w:lineRule="auto"/>
                    <w:ind w:firstLine="0" w:firstLineChars="0"/>
                    <w:jc w:val="center"/>
                    <w:rPr>
                      <w:rFonts w:eastAsia="宋体"/>
                      <w:color w:val="auto"/>
                      <w:sz w:val="21"/>
                    </w:rPr>
                  </w:pPr>
                  <w:r>
                    <w:rPr>
                      <w:rFonts w:eastAsia="宋体"/>
                      <w:color w:val="auto"/>
                      <w:sz w:val="21"/>
                    </w:rPr>
                    <w:t>本项目部分</w:t>
                  </w:r>
                  <w:r>
                    <w:rPr>
                      <w:rFonts w:hint="eastAsia" w:eastAsia="宋体"/>
                      <w:color w:val="auto"/>
                      <w:sz w:val="21"/>
                      <w:lang w:val="en-US" w:eastAsia="zh-CN"/>
                    </w:rPr>
                    <w:t>堤防</w:t>
                  </w:r>
                  <w:r>
                    <w:rPr>
                      <w:rFonts w:eastAsia="宋体"/>
                      <w:color w:val="auto"/>
                      <w:sz w:val="21"/>
                    </w:rPr>
                    <w:t>建设段</w:t>
                  </w:r>
                  <w:r>
                    <w:rPr>
                      <w:rFonts w:hint="eastAsia" w:eastAsia="宋体"/>
                      <w:color w:val="auto"/>
                      <w:sz w:val="21"/>
                      <w:lang w:eastAsia="zh-CN"/>
                    </w:rPr>
                    <w:t>（</w:t>
                  </w:r>
                  <w:r>
                    <w:rPr>
                      <w:rFonts w:eastAsia="宋体"/>
                      <w:color w:val="auto"/>
                      <w:sz w:val="21"/>
                    </w:rPr>
                    <w:t>2段防洪堤及1处围堰，清淤疏浚位于保护区以外</w:t>
                  </w:r>
                  <w:r>
                    <w:rPr>
                      <w:rFonts w:hint="eastAsia" w:eastAsia="宋体"/>
                      <w:color w:val="auto"/>
                      <w:sz w:val="21"/>
                      <w:lang w:eastAsia="zh-CN"/>
                    </w:rPr>
                    <w:t>）</w:t>
                  </w:r>
                  <w:r>
                    <w:rPr>
                      <w:rFonts w:eastAsia="宋体"/>
                      <w:color w:val="auto"/>
                      <w:sz w:val="21"/>
                    </w:rPr>
                    <w:t>位于四川嘉陵江源市级湿地自然保护区实验区，不涉及核心区和缓冲区。本项目不属于污染环境、破坏环境的生产设施。</w:t>
                  </w: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continue"/>
                  <w:vAlign w:val="center"/>
                </w:tcPr>
                <w:p>
                  <w:pPr>
                    <w:pStyle w:val="83"/>
                    <w:widowControl/>
                    <w:spacing w:line="240" w:lineRule="auto"/>
                    <w:ind w:firstLine="0" w:firstLineChars="0"/>
                    <w:jc w:val="center"/>
                    <w:rPr>
                      <w:rFonts w:eastAsia="宋体"/>
                      <w:color w:val="auto"/>
                      <w:sz w:val="21"/>
                    </w:rPr>
                  </w:pPr>
                </w:p>
              </w:tc>
              <w:tc>
                <w:tcPr>
                  <w:tcW w:w="2841" w:type="pct"/>
                  <w:vAlign w:val="center"/>
                </w:tcPr>
                <w:p>
                  <w:pPr>
                    <w:jc w:val="left"/>
                    <w:rPr>
                      <w:color w:val="auto"/>
                    </w:rPr>
                  </w:pPr>
                  <w:r>
                    <w:rPr>
                      <w:color w:val="auto"/>
                    </w:rPr>
                    <w:t>第二十八条 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pPr>
                    <w:jc w:val="left"/>
                    <w:rPr>
                      <w:color w:val="auto"/>
                    </w:rPr>
                  </w:pPr>
                  <w:r>
                    <w:rPr>
                      <w:color w:val="auto"/>
                    </w:rPr>
                    <w:t>从事前款活动的单位和个人，应当将其活动成果的副本提交自然保护区管理机构。</w:t>
                  </w:r>
                </w:p>
              </w:tc>
              <w:tc>
                <w:tcPr>
                  <w:tcW w:w="1191" w:type="pct"/>
                  <w:vMerge w:val="continue"/>
                  <w:vAlign w:val="center"/>
                </w:tcPr>
                <w:p>
                  <w:pPr>
                    <w:pStyle w:val="83"/>
                    <w:widowControl/>
                    <w:spacing w:line="240" w:lineRule="auto"/>
                    <w:ind w:firstLine="0" w:firstLineChars="0"/>
                    <w:jc w:val="center"/>
                    <w:rPr>
                      <w:rFonts w:eastAsia="宋体"/>
                      <w:color w:val="auto"/>
                      <w:sz w:val="21"/>
                    </w:rPr>
                  </w:pP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continue"/>
                  <w:vAlign w:val="center"/>
                </w:tcPr>
                <w:p>
                  <w:pPr>
                    <w:pStyle w:val="83"/>
                    <w:widowControl/>
                    <w:spacing w:line="240" w:lineRule="auto"/>
                    <w:ind w:firstLine="0" w:firstLineChars="0"/>
                    <w:jc w:val="center"/>
                    <w:rPr>
                      <w:rFonts w:eastAsia="宋体"/>
                      <w:color w:val="auto"/>
                      <w:sz w:val="21"/>
                    </w:rPr>
                  </w:pPr>
                </w:p>
              </w:tc>
              <w:tc>
                <w:tcPr>
                  <w:tcW w:w="2841" w:type="pct"/>
                  <w:vAlign w:val="center"/>
                </w:tcPr>
                <w:p>
                  <w:pPr>
                    <w:jc w:val="left"/>
                    <w:rPr>
                      <w:color w:val="auto"/>
                    </w:rPr>
                  </w:pPr>
                  <w:r>
                    <w:rPr>
                      <w:color w:val="auto"/>
                    </w:rPr>
                    <w:t>第二十九条 在国家级自然保护区的实验区开展参观、旅游活动的，由自然保护区管理机构提出方案，经省、自治区、直辖市人民政府有关自然保护区行政主管部门审核后，报国务院有关自然保护区行政主管部门批准；在地方级自然保护区的实验区开展参观、旅游活动的，由自然保护区管理机构提出方案，经省、自治区、直辖市人民政府有关自然保护区行政主管部门批准。</w:t>
                  </w:r>
                </w:p>
              </w:tc>
              <w:tc>
                <w:tcPr>
                  <w:tcW w:w="1191" w:type="pct"/>
                  <w:vMerge w:val="continue"/>
                  <w:vAlign w:val="center"/>
                </w:tcPr>
                <w:p>
                  <w:pPr>
                    <w:pStyle w:val="83"/>
                    <w:widowControl/>
                    <w:spacing w:line="240" w:lineRule="auto"/>
                    <w:ind w:firstLine="0" w:firstLineChars="0"/>
                    <w:jc w:val="center"/>
                    <w:rPr>
                      <w:rFonts w:eastAsia="宋体"/>
                      <w:color w:val="auto"/>
                      <w:sz w:val="21"/>
                    </w:rPr>
                  </w:pP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continue"/>
                  <w:vAlign w:val="center"/>
                </w:tcPr>
                <w:p>
                  <w:pPr>
                    <w:pStyle w:val="83"/>
                    <w:widowControl/>
                    <w:spacing w:line="240" w:lineRule="auto"/>
                    <w:ind w:firstLine="0" w:firstLineChars="0"/>
                    <w:jc w:val="center"/>
                    <w:rPr>
                      <w:rFonts w:eastAsia="宋体"/>
                      <w:color w:val="auto"/>
                      <w:sz w:val="21"/>
                    </w:rPr>
                  </w:pPr>
                </w:p>
              </w:tc>
              <w:tc>
                <w:tcPr>
                  <w:tcW w:w="2841" w:type="pct"/>
                  <w:vAlign w:val="center"/>
                </w:tcPr>
                <w:p>
                  <w:pPr>
                    <w:jc w:val="left"/>
                    <w:rPr>
                      <w:color w:val="auto"/>
                    </w:rPr>
                  </w:pPr>
                  <w:r>
                    <w:rPr>
                      <w:color w:val="auto"/>
                    </w:rPr>
                    <w:t>第三十二条 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tc>
              <w:tc>
                <w:tcPr>
                  <w:tcW w:w="1191" w:type="pct"/>
                  <w:vMerge w:val="continue"/>
                  <w:vAlign w:val="center"/>
                </w:tcPr>
                <w:p>
                  <w:pPr>
                    <w:pStyle w:val="83"/>
                    <w:widowControl/>
                    <w:spacing w:line="240" w:lineRule="auto"/>
                    <w:ind w:firstLine="0" w:firstLineChars="0"/>
                    <w:jc w:val="center"/>
                    <w:rPr>
                      <w:rFonts w:eastAsia="宋体"/>
                      <w:color w:val="auto"/>
                      <w:sz w:val="21"/>
                    </w:rPr>
                  </w:pP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continue"/>
                  <w:vAlign w:val="center"/>
                </w:tcPr>
                <w:p>
                  <w:pPr>
                    <w:pStyle w:val="83"/>
                    <w:widowControl/>
                    <w:spacing w:line="240" w:lineRule="auto"/>
                    <w:ind w:firstLine="0" w:firstLineChars="0"/>
                    <w:jc w:val="center"/>
                    <w:rPr>
                      <w:rFonts w:eastAsia="宋体"/>
                      <w:color w:val="auto"/>
                      <w:sz w:val="21"/>
                    </w:rPr>
                  </w:pPr>
                </w:p>
              </w:tc>
              <w:tc>
                <w:tcPr>
                  <w:tcW w:w="2841" w:type="pct"/>
                  <w:vAlign w:val="center"/>
                </w:tcPr>
                <w:p>
                  <w:pPr>
                    <w:jc w:val="left"/>
                    <w:rPr>
                      <w:color w:val="auto"/>
                    </w:rPr>
                  </w:pPr>
                  <w:r>
                    <w:rPr>
                      <w:color w:val="auto"/>
                    </w:rPr>
                    <w:t>第三十三条 因发生事故或者其他突然性事件，造成或者可能造成自然保护区污染或者破坏的单位和个人，必须立即采取措施处理，及时通报可能受到危害的单位和居民，并向自然保护区管理机构、当地环境保护行政主管部门和自然保护区行政主管部门报告，接受调查处理。</w:t>
                  </w:r>
                </w:p>
              </w:tc>
              <w:tc>
                <w:tcPr>
                  <w:tcW w:w="1191" w:type="pct"/>
                  <w:vMerge w:val="continue"/>
                  <w:vAlign w:val="center"/>
                </w:tcPr>
                <w:p>
                  <w:pPr>
                    <w:pStyle w:val="83"/>
                    <w:widowControl/>
                    <w:spacing w:line="240" w:lineRule="auto"/>
                    <w:ind w:firstLine="0" w:firstLineChars="0"/>
                    <w:jc w:val="left"/>
                    <w:rPr>
                      <w:rFonts w:eastAsia="宋体"/>
                      <w:color w:val="auto"/>
                      <w:sz w:val="21"/>
                    </w:rPr>
                  </w:pP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restart"/>
                  <w:vAlign w:val="center"/>
                </w:tcPr>
                <w:p>
                  <w:pPr>
                    <w:pStyle w:val="83"/>
                    <w:widowControl/>
                    <w:spacing w:line="240" w:lineRule="auto"/>
                    <w:ind w:firstLine="0" w:firstLineChars="0"/>
                    <w:jc w:val="center"/>
                    <w:rPr>
                      <w:rFonts w:eastAsia="宋体"/>
                      <w:color w:val="auto"/>
                      <w:sz w:val="21"/>
                    </w:rPr>
                  </w:pPr>
                  <w:r>
                    <w:rPr>
                      <w:rFonts w:eastAsia="宋体"/>
                      <w:color w:val="auto"/>
                      <w:sz w:val="21"/>
                    </w:rPr>
                    <w:t>《四川省自然保护区管理条例》</w:t>
                  </w:r>
                </w:p>
              </w:tc>
              <w:tc>
                <w:tcPr>
                  <w:tcW w:w="2841"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第十八条  自然保护区核心区任何单位和个人不得擅自进入。因科学研究确需进入的，应当经同级有关自然保护区行政主管部门批准；不得建设与保护无关的任何设施；核心区内的居民由自然保护区所在地的县级以上人民政府有计划地迁出并予以妥善安置。自然保护区缓冲区内不得建设任何生产设施。自然保护区实验区内不得建设污染环境，破坏资源或者景观的生产设施。</w:t>
                  </w:r>
                </w:p>
              </w:tc>
              <w:tc>
                <w:tcPr>
                  <w:tcW w:w="1191" w:type="pct"/>
                  <w:vMerge w:val="restart"/>
                  <w:vAlign w:val="center"/>
                </w:tcPr>
                <w:p>
                  <w:pPr>
                    <w:pStyle w:val="83"/>
                    <w:widowControl/>
                    <w:spacing w:line="240" w:lineRule="auto"/>
                    <w:ind w:firstLine="0" w:firstLineChars="0"/>
                    <w:jc w:val="left"/>
                    <w:rPr>
                      <w:rFonts w:eastAsia="宋体"/>
                      <w:color w:val="auto"/>
                      <w:sz w:val="21"/>
                    </w:rPr>
                  </w:pPr>
                  <w:r>
                    <w:rPr>
                      <w:rFonts w:eastAsia="宋体"/>
                      <w:color w:val="auto"/>
                      <w:sz w:val="21"/>
                    </w:rPr>
                    <w:t>本项目部分</w:t>
                  </w:r>
                  <w:r>
                    <w:rPr>
                      <w:rFonts w:hint="eastAsia" w:eastAsia="宋体"/>
                      <w:color w:val="auto"/>
                      <w:sz w:val="21"/>
                      <w:lang w:val="en-US" w:eastAsia="zh-CN"/>
                    </w:rPr>
                    <w:t>堤防</w:t>
                  </w:r>
                  <w:r>
                    <w:rPr>
                      <w:rFonts w:eastAsia="宋体"/>
                      <w:color w:val="auto"/>
                      <w:sz w:val="21"/>
                    </w:rPr>
                    <w:t>建设段</w:t>
                  </w:r>
                  <w:r>
                    <w:rPr>
                      <w:rFonts w:hint="eastAsia" w:eastAsia="宋体"/>
                      <w:color w:val="auto"/>
                      <w:sz w:val="21"/>
                      <w:lang w:eastAsia="zh-CN"/>
                    </w:rPr>
                    <w:t>（</w:t>
                  </w:r>
                  <w:r>
                    <w:rPr>
                      <w:rFonts w:eastAsia="宋体"/>
                      <w:color w:val="auto"/>
                      <w:sz w:val="21"/>
                    </w:rPr>
                    <w:t>2段防洪堤及1处围堰，清淤疏浚位于保护区以外</w:t>
                  </w:r>
                  <w:r>
                    <w:rPr>
                      <w:rFonts w:hint="eastAsia" w:eastAsia="宋体"/>
                      <w:color w:val="auto"/>
                      <w:sz w:val="21"/>
                      <w:lang w:eastAsia="zh-CN"/>
                    </w:rPr>
                    <w:t>）</w:t>
                  </w:r>
                  <w:r>
                    <w:rPr>
                      <w:rFonts w:eastAsia="宋体"/>
                      <w:color w:val="auto"/>
                      <w:sz w:val="21"/>
                    </w:rPr>
                    <w:t>位于四川嘉陵江源市级湿地自然保护区实验区，不涉及核心区和缓冲区。本项目不属于污染环境、破坏环境的生产设施。</w:t>
                  </w: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continue"/>
                  <w:vAlign w:val="center"/>
                </w:tcPr>
                <w:p>
                  <w:pPr>
                    <w:pStyle w:val="83"/>
                    <w:widowControl/>
                    <w:spacing w:line="240" w:lineRule="auto"/>
                    <w:ind w:firstLine="0" w:firstLineChars="0"/>
                    <w:jc w:val="center"/>
                    <w:rPr>
                      <w:rFonts w:eastAsia="宋体"/>
                      <w:color w:val="auto"/>
                      <w:sz w:val="21"/>
                    </w:rPr>
                  </w:pPr>
                </w:p>
              </w:tc>
              <w:tc>
                <w:tcPr>
                  <w:tcW w:w="2841"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第二十四条 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由县级以上地方人民政府环境保护主管部门依法处理。</w:t>
                  </w:r>
                </w:p>
                <w:p>
                  <w:pPr>
                    <w:pStyle w:val="83"/>
                    <w:widowControl/>
                    <w:spacing w:line="240" w:lineRule="auto"/>
                    <w:ind w:firstLine="0" w:firstLineChars="0"/>
                    <w:jc w:val="left"/>
                    <w:rPr>
                      <w:rFonts w:eastAsia="宋体"/>
                      <w:color w:val="auto"/>
                      <w:sz w:val="21"/>
                    </w:rPr>
                  </w:pPr>
                  <w:r>
                    <w:rPr>
                      <w:rFonts w:eastAsia="宋体"/>
                      <w:color w:val="auto"/>
                      <w:sz w:val="21"/>
                    </w:rPr>
                    <w:t>在自然保护区的外围保护地带建设的项目，不得损害自然保护区内的环境质量；已造成损害的，应当限期治理。</w:t>
                  </w:r>
                </w:p>
                <w:p>
                  <w:pPr>
                    <w:pStyle w:val="83"/>
                    <w:widowControl/>
                    <w:spacing w:line="240" w:lineRule="auto"/>
                    <w:ind w:firstLine="0" w:firstLineChars="0"/>
                    <w:jc w:val="left"/>
                    <w:rPr>
                      <w:rFonts w:eastAsia="宋体"/>
                      <w:color w:val="auto"/>
                      <w:sz w:val="21"/>
                    </w:rPr>
                  </w:pPr>
                  <w:r>
                    <w:rPr>
                      <w:rFonts w:eastAsia="宋体"/>
                      <w:color w:val="auto"/>
                      <w:sz w:val="21"/>
                    </w:rPr>
                    <w:t>限期治理决定由法律、法规规定的机关作出，被限期治理的企业事业单位必须按期完成治理任务。</w:t>
                  </w:r>
                </w:p>
              </w:tc>
              <w:tc>
                <w:tcPr>
                  <w:tcW w:w="1191" w:type="pct"/>
                  <w:vMerge w:val="continue"/>
                  <w:vAlign w:val="center"/>
                </w:tcPr>
                <w:p>
                  <w:pPr>
                    <w:pStyle w:val="83"/>
                    <w:widowControl/>
                    <w:spacing w:line="240" w:lineRule="auto"/>
                    <w:ind w:firstLine="0" w:firstLineChars="0"/>
                    <w:jc w:val="left"/>
                    <w:rPr>
                      <w:rFonts w:eastAsia="宋体"/>
                      <w:color w:val="auto"/>
                      <w:sz w:val="21"/>
                    </w:rPr>
                  </w:pP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bl>
          <w:p>
            <w:pPr>
              <w:widowControl/>
              <w:tabs>
                <w:tab w:val="left" w:pos="7472"/>
              </w:tabs>
              <w:adjustRightInd w:val="0"/>
              <w:spacing w:line="360" w:lineRule="auto"/>
              <w:textAlignment w:val="baseline"/>
              <w:rPr>
                <w:b/>
                <w:bCs/>
                <w:color w:val="auto"/>
                <w:kern w:val="24"/>
                <w:sz w:val="24"/>
              </w:rPr>
            </w:pPr>
            <w:r>
              <w:rPr>
                <w:b/>
                <w:bCs/>
                <w:color w:val="auto"/>
                <w:kern w:val="24"/>
                <w:sz w:val="24"/>
              </w:rPr>
              <w:t>三、项目与《四川省湿地保护条例》符合性分析</w:t>
            </w:r>
          </w:p>
          <w:p>
            <w:pPr>
              <w:spacing w:line="360" w:lineRule="auto"/>
              <w:ind w:firstLine="480" w:firstLineChars="200"/>
              <w:rPr>
                <w:color w:val="auto"/>
                <w:kern w:val="24"/>
                <w:sz w:val="24"/>
              </w:rPr>
            </w:pPr>
            <w:r>
              <w:rPr>
                <w:color w:val="auto"/>
                <w:sz w:val="24"/>
              </w:rPr>
              <w:t>本项目部分建设段处于</w:t>
            </w:r>
            <w:r>
              <w:rPr>
                <w:bCs/>
                <w:color w:val="auto"/>
                <w:sz w:val="24"/>
              </w:rPr>
              <w:t>四川嘉陵江源市级湿地自然保护区实验区</w:t>
            </w:r>
            <w:r>
              <w:rPr>
                <w:color w:val="auto"/>
                <w:sz w:val="24"/>
              </w:rPr>
              <w:t>内，长度约1883m（2段堤防1609m，围堰274m，工程清淤区位于保护区外侧）。本项目与《四川省湿地保护条例》（2010年7月24日四川省第十一届人民代表大会常务委员会第十七次会议通过并公布，自2010年10月1日起施行）符合性分析见下表。</w:t>
            </w:r>
          </w:p>
          <w:p>
            <w:pPr>
              <w:pStyle w:val="63"/>
              <w:numPr>
                <w:ilvl w:val="0"/>
                <w:numId w:val="5"/>
              </w:numPr>
              <w:autoSpaceDE w:val="0"/>
              <w:autoSpaceDN w:val="0"/>
              <w:adjustRightInd w:val="0"/>
              <w:snapToGrid w:val="0"/>
              <w:ind w:left="0" w:firstLine="0"/>
              <w:rPr>
                <w:b/>
                <w:color w:val="auto"/>
                <w:szCs w:val="21"/>
              </w:rPr>
            </w:pPr>
            <w:r>
              <w:rPr>
                <w:b/>
                <w:color w:val="auto"/>
                <w:szCs w:val="21"/>
              </w:rPr>
              <w:t>与《四川省湿地保护条例》的符合性分析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4093"/>
              <w:gridCol w:w="3271"/>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Align w:val="center"/>
                </w:tcPr>
                <w:p>
                  <w:pPr>
                    <w:widowControl/>
                    <w:jc w:val="center"/>
                    <w:rPr>
                      <w:b/>
                      <w:bCs/>
                      <w:color w:val="auto"/>
                      <w:kern w:val="0"/>
                      <w:szCs w:val="21"/>
                    </w:rPr>
                  </w:pPr>
                  <w:r>
                    <w:rPr>
                      <w:b/>
                      <w:bCs/>
                      <w:color w:val="auto"/>
                      <w:kern w:val="0"/>
                      <w:szCs w:val="21"/>
                    </w:rPr>
                    <w:t>文件</w:t>
                  </w:r>
                </w:p>
              </w:tc>
              <w:tc>
                <w:tcPr>
                  <w:tcW w:w="2241" w:type="pct"/>
                  <w:vAlign w:val="center"/>
                </w:tcPr>
                <w:p>
                  <w:pPr>
                    <w:widowControl/>
                    <w:jc w:val="center"/>
                    <w:rPr>
                      <w:b/>
                      <w:bCs/>
                      <w:color w:val="auto"/>
                      <w:kern w:val="0"/>
                      <w:szCs w:val="21"/>
                    </w:rPr>
                  </w:pPr>
                  <w:r>
                    <w:rPr>
                      <w:b/>
                      <w:bCs/>
                      <w:color w:val="auto"/>
                      <w:kern w:val="0"/>
                      <w:szCs w:val="21"/>
                    </w:rPr>
                    <w:t>内容</w:t>
                  </w:r>
                </w:p>
              </w:tc>
              <w:tc>
                <w:tcPr>
                  <w:tcW w:w="1791" w:type="pct"/>
                  <w:vAlign w:val="center"/>
                </w:tcPr>
                <w:p>
                  <w:pPr>
                    <w:widowControl/>
                    <w:jc w:val="center"/>
                    <w:rPr>
                      <w:b/>
                      <w:bCs/>
                      <w:color w:val="auto"/>
                      <w:kern w:val="0"/>
                      <w:szCs w:val="21"/>
                    </w:rPr>
                  </w:pPr>
                  <w:r>
                    <w:rPr>
                      <w:b/>
                      <w:bCs/>
                      <w:color w:val="auto"/>
                      <w:kern w:val="0"/>
                      <w:szCs w:val="21"/>
                    </w:rPr>
                    <w:t>本项目</w:t>
                  </w:r>
                </w:p>
              </w:tc>
              <w:tc>
                <w:tcPr>
                  <w:tcW w:w="517"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restart"/>
                  <w:vAlign w:val="center"/>
                </w:tcPr>
                <w:p>
                  <w:pPr>
                    <w:pStyle w:val="83"/>
                    <w:widowControl/>
                    <w:spacing w:line="240" w:lineRule="auto"/>
                    <w:ind w:firstLine="0" w:firstLineChars="0"/>
                    <w:jc w:val="center"/>
                    <w:rPr>
                      <w:rFonts w:eastAsia="宋体"/>
                      <w:color w:val="auto"/>
                      <w:sz w:val="21"/>
                    </w:rPr>
                  </w:pPr>
                  <w:r>
                    <w:rPr>
                      <w:rFonts w:eastAsia="宋体"/>
                      <w:color w:val="auto"/>
                      <w:sz w:val="21"/>
                    </w:rPr>
                    <w:t>《四川省湿地保护条例》</w:t>
                  </w:r>
                </w:p>
              </w:tc>
              <w:tc>
                <w:tcPr>
                  <w:tcW w:w="2241"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第十八条 在湿地范围内禁止从事下列活动：</w:t>
                  </w:r>
                </w:p>
                <w:p>
                  <w:pPr>
                    <w:pStyle w:val="83"/>
                    <w:widowControl/>
                    <w:spacing w:line="240" w:lineRule="auto"/>
                    <w:ind w:firstLine="0" w:firstLineChars="0"/>
                    <w:jc w:val="left"/>
                    <w:rPr>
                      <w:rFonts w:eastAsia="宋体"/>
                      <w:color w:val="auto"/>
                      <w:sz w:val="21"/>
                    </w:rPr>
                  </w:pPr>
                  <w:r>
                    <w:rPr>
                      <w:rFonts w:eastAsia="宋体"/>
                      <w:color w:val="auto"/>
                      <w:sz w:val="21"/>
                    </w:rPr>
                    <w:t>擅自围（开）垦、烧荒、填埋湿地；</w:t>
                  </w:r>
                </w:p>
                <w:p>
                  <w:pPr>
                    <w:pStyle w:val="83"/>
                    <w:widowControl/>
                    <w:spacing w:line="240" w:lineRule="auto"/>
                    <w:ind w:firstLine="0" w:firstLineChars="0"/>
                    <w:jc w:val="left"/>
                    <w:rPr>
                      <w:rFonts w:eastAsia="宋体"/>
                      <w:color w:val="auto"/>
                      <w:sz w:val="21"/>
                    </w:rPr>
                  </w:pPr>
                  <w:r>
                    <w:rPr>
                      <w:rFonts w:eastAsia="宋体"/>
                      <w:color w:val="auto"/>
                      <w:sz w:val="21"/>
                    </w:rPr>
                    <w:t>擅自排放湿地蓄水、修建阻水或者排水设施；</w:t>
                  </w:r>
                </w:p>
                <w:p>
                  <w:pPr>
                    <w:pStyle w:val="83"/>
                    <w:widowControl/>
                    <w:spacing w:line="240" w:lineRule="auto"/>
                    <w:ind w:firstLine="0" w:firstLineChars="0"/>
                    <w:jc w:val="left"/>
                    <w:rPr>
                      <w:rFonts w:eastAsia="宋体"/>
                      <w:color w:val="auto"/>
                      <w:sz w:val="21"/>
                    </w:rPr>
                  </w:pPr>
                  <w:r>
                    <w:rPr>
                      <w:rFonts w:eastAsia="宋体"/>
                      <w:color w:val="auto"/>
                      <w:sz w:val="21"/>
                    </w:rPr>
                    <w:t>破坏动物洄游通道或者野生动物栖息地；</w:t>
                  </w:r>
                </w:p>
                <w:p>
                  <w:pPr>
                    <w:pStyle w:val="83"/>
                    <w:widowControl/>
                    <w:spacing w:line="240" w:lineRule="auto"/>
                    <w:ind w:firstLine="0" w:firstLineChars="0"/>
                    <w:jc w:val="left"/>
                    <w:rPr>
                      <w:rFonts w:eastAsia="宋体"/>
                      <w:color w:val="auto"/>
                      <w:sz w:val="21"/>
                    </w:rPr>
                  </w:pPr>
                  <w:r>
                    <w:rPr>
                      <w:rFonts w:eastAsia="宋体"/>
                      <w:color w:val="auto"/>
                      <w:sz w:val="21"/>
                    </w:rPr>
                    <w:t>擅自采砂、采石、采矿、挖塘、采集泥炭、揭取草皮；</w:t>
                  </w:r>
                </w:p>
                <w:p>
                  <w:pPr>
                    <w:pStyle w:val="83"/>
                    <w:widowControl/>
                    <w:spacing w:line="240" w:lineRule="auto"/>
                    <w:ind w:firstLine="0" w:firstLineChars="0"/>
                    <w:jc w:val="left"/>
                    <w:rPr>
                      <w:rFonts w:eastAsia="宋体"/>
                      <w:color w:val="auto"/>
                      <w:sz w:val="21"/>
                    </w:rPr>
                  </w:pPr>
                  <w:r>
                    <w:rPr>
                      <w:rFonts w:eastAsia="宋体"/>
                      <w:color w:val="auto"/>
                      <w:sz w:val="21"/>
                    </w:rPr>
                    <w:t>擅自砍伐林木、采集野生植物、猎捕野生动物、捡拾鸟卵；</w:t>
                  </w:r>
                </w:p>
                <w:p>
                  <w:pPr>
                    <w:pStyle w:val="83"/>
                    <w:widowControl/>
                    <w:spacing w:line="240" w:lineRule="auto"/>
                    <w:ind w:firstLine="0" w:firstLineChars="0"/>
                    <w:jc w:val="left"/>
                    <w:rPr>
                      <w:rFonts w:eastAsia="宋体"/>
                      <w:color w:val="auto"/>
                      <w:sz w:val="21"/>
                    </w:rPr>
                  </w:pPr>
                  <w:r>
                    <w:rPr>
                      <w:rFonts w:eastAsia="宋体"/>
                      <w:color w:val="auto"/>
                      <w:sz w:val="21"/>
                    </w:rPr>
                    <w:t>采用灭绝性方式捕捞鱼类及其他水生生物；</w:t>
                  </w:r>
                </w:p>
                <w:p>
                  <w:pPr>
                    <w:pStyle w:val="83"/>
                    <w:widowControl/>
                    <w:spacing w:line="240" w:lineRule="auto"/>
                    <w:ind w:firstLine="0" w:firstLineChars="0"/>
                    <w:jc w:val="left"/>
                    <w:rPr>
                      <w:rFonts w:eastAsia="宋体"/>
                      <w:color w:val="auto"/>
                      <w:sz w:val="21"/>
                    </w:rPr>
                  </w:pPr>
                  <w:r>
                    <w:rPr>
                      <w:rFonts w:eastAsia="宋体"/>
                      <w:color w:val="auto"/>
                      <w:sz w:val="21"/>
                    </w:rPr>
                    <w:t>向湿地投放有毒有害物质、倾倒固体废弃物、擅自排放污水；</w:t>
                  </w:r>
                </w:p>
                <w:p>
                  <w:pPr>
                    <w:pStyle w:val="83"/>
                    <w:widowControl/>
                    <w:spacing w:line="240" w:lineRule="auto"/>
                    <w:ind w:firstLine="0" w:firstLineChars="0"/>
                    <w:jc w:val="left"/>
                    <w:rPr>
                      <w:rFonts w:eastAsia="宋体"/>
                      <w:color w:val="auto"/>
                      <w:sz w:val="21"/>
                    </w:rPr>
                  </w:pPr>
                  <w:r>
                    <w:rPr>
                      <w:rFonts w:eastAsia="宋体"/>
                      <w:color w:val="auto"/>
                      <w:sz w:val="21"/>
                    </w:rPr>
                    <w:t>擅自向湿地引入外来物种；</w:t>
                  </w:r>
                  <w:r>
                    <w:rPr>
                      <w:rFonts w:eastAsia="宋体"/>
                      <w:color w:val="auto"/>
                      <w:sz w:val="21"/>
                    </w:rPr>
                    <w:br w:type="textWrapping"/>
                  </w:r>
                  <w:r>
                    <w:rPr>
                      <w:rFonts w:eastAsia="宋体"/>
                      <w:color w:val="auto"/>
                      <w:sz w:val="21"/>
                    </w:rPr>
                    <w:t>破坏湿地保护设施设备；</w:t>
                  </w:r>
                </w:p>
              </w:tc>
              <w:tc>
                <w:tcPr>
                  <w:tcW w:w="1791" w:type="pct"/>
                  <w:vMerge w:val="restart"/>
                  <w:vAlign w:val="center"/>
                </w:tcPr>
                <w:p>
                  <w:pPr>
                    <w:pStyle w:val="83"/>
                    <w:widowControl/>
                    <w:spacing w:line="240" w:lineRule="auto"/>
                    <w:ind w:firstLine="0" w:firstLineChars="0"/>
                    <w:jc w:val="left"/>
                    <w:rPr>
                      <w:rFonts w:eastAsia="宋体"/>
                      <w:color w:val="auto"/>
                      <w:sz w:val="21"/>
                    </w:rPr>
                  </w:pPr>
                  <w:r>
                    <w:rPr>
                      <w:rFonts w:eastAsia="宋体"/>
                      <w:color w:val="auto"/>
                      <w:sz w:val="21"/>
                    </w:rPr>
                    <w:t>本项目为防洪治理工程，不存在围（开）垦、烧荒、填埋湿地等行为；</w:t>
                  </w:r>
                </w:p>
                <w:p>
                  <w:pPr>
                    <w:pStyle w:val="83"/>
                    <w:widowControl/>
                    <w:spacing w:line="240" w:lineRule="auto"/>
                    <w:ind w:firstLine="0" w:firstLineChars="0"/>
                    <w:jc w:val="left"/>
                    <w:rPr>
                      <w:rFonts w:eastAsia="宋体"/>
                      <w:color w:val="auto"/>
                      <w:sz w:val="21"/>
                    </w:rPr>
                  </w:pPr>
                  <w:r>
                    <w:rPr>
                      <w:rFonts w:eastAsia="宋体"/>
                      <w:color w:val="auto"/>
                      <w:sz w:val="21"/>
                    </w:rPr>
                    <w:t>本项目不涉及在保护区修建排水等设施；</w:t>
                  </w:r>
                </w:p>
                <w:p>
                  <w:pPr>
                    <w:pStyle w:val="83"/>
                    <w:widowControl/>
                    <w:spacing w:line="240" w:lineRule="auto"/>
                    <w:ind w:firstLine="0" w:firstLineChars="0"/>
                    <w:jc w:val="left"/>
                    <w:rPr>
                      <w:rFonts w:eastAsia="宋体"/>
                      <w:color w:val="auto"/>
                      <w:sz w:val="21"/>
                    </w:rPr>
                  </w:pPr>
                  <w:r>
                    <w:rPr>
                      <w:rFonts w:eastAsia="宋体"/>
                      <w:color w:val="auto"/>
                      <w:sz w:val="21"/>
                    </w:rPr>
                    <w:t>本项目在保护区内仅修建2段防洪堤及1处围堰，清淤疏浚位于保护区以外，不存在采砂、采石、采矿等行为；</w:t>
                  </w:r>
                </w:p>
                <w:p>
                  <w:pPr>
                    <w:pStyle w:val="83"/>
                    <w:widowControl/>
                    <w:spacing w:line="240" w:lineRule="auto"/>
                    <w:ind w:firstLine="0" w:firstLineChars="0"/>
                    <w:jc w:val="left"/>
                    <w:rPr>
                      <w:rFonts w:eastAsia="宋体"/>
                      <w:color w:val="auto"/>
                      <w:sz w:val="21"/>
                    </w:rPr>
                  </w:pPr>
                  <w:r>
                    <w:rPr>
                      <w:rFonts w:eastAsia="宋体"/>
                      <w:color w:val="auto"/>
                      <w:sz w:val="21"/>
                    </w:rPr>
                    <w:t>本项目不涉及砍伐林木，采集野生植物等措施；</w:t>
                  </w:r>
                </w:p>
                <w:p>
                  <w:pPr>
                    <w:pStyle w:val="83"/>
                    <w:widowControl/>
                    <w:spacing w:line="240" w:lineRule="auto"/>
                    <w:ind w:firstLine="0" w:firstLineChars="0"/>
                    <w:jc w:val="left"/>
                    <w:rPr>
                      <w:rFonts w:eastAsia="宋体"/>
                      <w:color w:val="auto"/>
                      <w:sz w:val="21"/>
                    </w:rPr>
                  </w:pPr>
                  <w:r>
                    <w:rPr>
                      <w:rFonts w:eastAsia="宋体"/>
                      <w:color w:val="auto"/>
                      <w:sz w:val="21"/>
                    </w:rPr>
                    <w:t>项目所在地部分处于四川嘉陵江源市级湿地自然保护区实验区，不涉及自然保护区的核心区及缓冲区；</w:t>
                  </w:r>
                </w:p>
                <w:p>
                  <w:pPr>
                    <w:pStyle w:val="83"/>
                    <w:widowControl/>
                    <w:spacing w:line="240" w:lineRule="auto"/>
                    <w:ind w:firstLine="0" w:firstLineChars="0"/>
                    <w:jc w:val="left"/>
                    <w:rPr>
                      <w:rFonts w:eastAsia="宋体"/>
                      <w:color w:val="auto"/>
                      <w:sz w:val="21"/>
                    </w:rPr>
                  </w:pPr>
                  <w:r>
                    <w:rPr>
                      <w:rFonts w:eastAsia="宋体"/>
                      <w:color w:val="auto"/>
                      <w:sz w:val="21"/>
                    </w:rPr>
                    <w:t>项目已委托成都华泓景观设计有限公司编制《四川省朝天区广坪河羊木段防洪治理工程项目对四川嘉陵江源湿地市级自然保护区自然资源、自然生态系统和主要保护对象影响评价报告》，目前已经报批</w:t>
                  </w:r>
                  <w:r>
                    <w:rPr>
                      <w:rFonts w:hint="eastAsia" w:eastAsia="宋体"/>
                      <w:color w:val="auto"/>
                      <w:sz w:val="21"/>
                      <w:lang w:eastAsia="zh-CN"/>
                    </w:rPr>
                    <w:t>，</w:t>
                  </w:r>
                  <w:r>
                    <w:rPr>
                      <w:rFonts w:eastAsia="宋体"/>
                      <w:color w:val="auto"/>
                      <w:sz w:val="21"/>
                    </w:rPr>
                    <w:t>报告已通过四川林业和草原局审查，</w:t>
                  </w:r>
                  <w:r>
                    <w:rPr>
                      <w:rFonts w:hint="eastAsia" w:eastAsia="宋体"/>
                      <w:color w:val="auto"/>
                      <w:sz w:val="21"/>
                      <w:lang w:val="en-US" w:eastAsia="zh-CN"/>
                    </w:rPr>
                    <w:t>取得其出具的审查意见复函</w:t>
                  </w:r>
                  <w:r>
                    <w:rPr>
                      <w:rFonts w:eastAsia="宋体"/>
                      <w:color w:val="auto"/>
                      <w:sz w:val="21"/>
                    </w:rPr>
                    <w:t>。</w:t>
                  </w: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9" w:type="pct"/>
                  <w:vMerge w:val="continue"/>
                  <w:vAlign w:val="center"/>
                </w:tcPr>
                <w:p>
                  <w:pPr>
                    <w:pStyle w:val="83"/>
                    <w:widowControl/>
                    <w:spacing w:line="240" w:lineRule="auto"/>
                    <w:ind w:firstLine="0" w:firstLineChars="0"/>
                    <w:jc w:val="center"/>
                    <w:rPr>
                      <w:rFonts w:eastAsia="宋体"/>
                      <w:color w:val="auto"/>
                      <w:sz w:val="21"/>
                    </w:rPr>
                  </w:pPr>
                </w:p>
              </w:tc>
              <w:tc>
                <w:tcPr>
                  <w:tcW w:w="2241" w:type="pct"/>
                  <w:vAlign w:val="center"/>
                </w:tcPr>
                <w:p>
                  <w:pPr>
                    <w:pStyle w:val="83"/>
                    <w:widowControl/>
                    <w:spacing w:line="240" w:lineRule="auto"/>
                    <w:ind w:firstLine="0" w:firstLineChars="0"/>
                    <w:jc w:val="left"/>
                    <w:rPr>
                      <w:rFonts w:eastAsia="宋体"/>
                      <w:color w:val="auto"/>
                      <w:sz w:val="21"/>
                    </w:rPr>
                  </w:pPr>
                  <w:r>
                    <w:rPr>
                      <w:rFonts w:eastAsia="宋体"/>
                      <w:color w:val="auto"/>
                      <w:sz w:val="21"/>
                    </w:rPr>
                    <w:t>第十九条 开发利用湿地资源应当按照湿地保护规划进行，不得破坏湿地生态系统的基本功能，不得破坏野生动植物栖息环境。</w:t>
                  </w:r>
                </w:p>
              </w:tc>
              <w:tc>
                <w:tcPr>
                  <w:tcW w:w="1791" w:type="pct"/>
                  <w:vMerge w:val="continue"/>
                  <w:vAlign w:val="center"/>
                </w:tcPr>
                <w:p>
                  <w:pPr>
                    <w:pStyle w:val="83"/>
                    <w:widowControl/>
                    <w:spacing w:line="240" w:lineRule="auto"/>
                    <w:ind w:firstLine="0" w:firstLineChars="0"/>
                    <w:jc w:val="left"/>
                    <w:rPr>
                      <w:rFonts w:eastAsia="宋体"/>
                      <w:color w:val="auto"/>
                      <w:sz w:val="21"/>
                    </w:rPr>
                  </w:pPr>
                </w:p>
              </w:tc>
              <w:tc>
                <w:tcPr>
                  <w:tcW w:w="517"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bl>
          <w:p>
            <w:pPr>
              <w:widowControl/>
              <w:tabs>
                <w:tab w:val="left" w:pos="7472"/>
              </w:tabs>
              <w:adjustRightInd w:val="0"/>
              <w:spacing w:line="360" w:lineRule="auto"/>
              <w:textAlignment w:val="baseline"/>
              <w:rPr>
                <w:rFonts w:hint="default" w:eastAsia="宋体"/>
                <w:b/>
                <w:bCs/>
                <w:color w:val="auto"/>
                <w:kern w:val="24"/>
                <w:sz w:val="24"/>
                <w:lang w:val="en-US" w:eastAsia="zh-CN"/>
              </w:rPr>
            </w:pPr>
            <w:r>
              <w:rPr>
                <w:b/>
                <w:bCs/>
                <w:color w:val="auto"/>
                <w:kern w:val="24"/>
                <w:sz w:val="24"/>
              </w:rPr>
              <w:t>四、</w:t>
            </w:r>
            <w:r>
              <w:rPr>
                <w:rFonts w:hint="eastAsia"/>
                <w:b/>
                <w:bCs/>
                <w:color w:val="auto"/>
                <w:kern w:val="24"/>
                <w:sz w:val="24"/>
                <w:lang w:val="en-US" w:eastAsia="zh-CN"/>
              </w:rPr>
              <w:t>项目与《四川嘉陵江源市级湿地自然保护区规划》符合性分析</w:t>
            </w:r>
          </w:p>
          <w:p>
            <w:pPr>
              <w:widowControl/>
              <w:tabs>
                <w:tab w:val="left" w:pos="7472"/>
              </w:tabs>
              <w:adjustRightInd w:val="0"/>
              <w:spacing w:line="360" w:lineRule="auto"/>
              <w:ind w:firstLine="480" w:firstLineChars="200"/>
              <w:textAlignment w:val="baseline"/>
              <w:rPr>
                <w:rFonts w:hint="eastAsia"/>
                <w:color w:val="auto"/>
                <w:kern w:val="24"/>
                <w:sz w:val="24"/>
                <w:lang w:eastAsia="zh-CN"/>
              </w:rPr>
            </w:pPr>
            <w:r>
              <w:rPr>
                <w:color w:val="auto"/>
                <w:kern w:val="24"/>
                <w:sz w:val="24"/>
              </w:rPr>
              <w:t>四川嘉陵江源市级湿地自然保护区是2004年10月经朝天区政府批准建立的以保护河流湿地生态系统及野生动植物资源为主的湿地自然保护区，主要保护对象为四川嘉陵江源头水源涵养林、水环境以及野生动植物资源。按照《中华人民共和国自然保护区条例》和国务院办公厅《关于加强湿地保护管理的通知》(国办发[2004]50号)以及广元市委、市政府关于“建设生态广元”的决定，为更加有效地保护水资源和野生动植物生态系统，加速自然保护区建设，改善生态环境，促进朝天区自然保护区事业的发展，2005年11月，经广元市人民政府批准[《广元市人民政府关于同意建立四川嘉陵江源市级湿地自然保护区的批复》(广府函[2005]167号)]，建成市级湿地自然保护区</w:t>
            </w:r>
            <w:r>
              <w:rPr>
                <w:rFonts w:hint="eastAsia"/>
                <w:color w:val="auto"/>
                <w:kern w:val="24"/>
                <w:sz w:val="24"/>
                <w:lang w:eastAsia="zh-CN"/>
              </w:rPr>
              <w:t>。</w:t>
            </w:r>
          </w:p>
          <w:p>
            <w:pPr>
              <w:widowControl/>
              <w:tabs>
                <w:tab w:val="left" w:pos="7472"/>
              </w:tabs>
              <w:adjustRightInd w:val="0"/>
              <w:spacing w:line="360" w:lineRule="auto"/>
              <w:ind w:firstLine="482" w:firstLineChars="200"/>
              <w:textAlignment w:val="baseline"/>
              <w:rPr>
                <w:rFonts w:hint="eastAsia"/>
                <w:b/>
                <w:bCs/>
                <w:color w:val="auto"/>
                <w:kern w:val="24"/>
                <w:sz w:val="24"/>
                <w:lang w:val="en-US" w:eastAsia="zh-CN"/>
              </w:rPr>
            </w:pPr>
            <w:r>
              <w:rPr>
                <w:rFonts w:hint="eastAsia"/>
                <w:b/>
                <w:bCs/>
                <w:color w:val="auto"/>
                <w:kern w:val="24"/>
                <w:sz w:val="24"/>
                <w:lang w:val="en-US" w:eastAsia="zh-CN"/>
              </w:rPr>
              <w:t>保护区类型</w:t>
            </w:r>
          </w:p>
          <w:p>
            <w:pPr>
              <w:widowControl/>
              <w:tabs>
                <w:tab w:val="left" w:pos="7472"/>
              </w:tabs>
              <w:adjustRightInd w:val="0"/>
              <w:spacing w:line="360" w:lineRule="auto"/>
              <w:ind w:firstLine="480" w:firstLineChars="200"/>
              <w:textAlignment w:val="baseline"/>
              <w:rPr>
                <w:rFonts w:hint="eastAsia"/>
                <w:color w:val="auto"/>
                <w:kern w:val="24"/>
                <w:sz w:val="24"/>
                <w:lang w:val="en-US" w:eastAsia="zh-CN"/>
              </w:rPr>
            </w:pPr>
            <w:r>
              <w:rPr>
                <w:rFonts w:hint="eastAsia"/>
                <w:color w:val="auto"/>
                <w:kern w:val="24"/>
                <w:sz w:val="24"/>
                <w:lang w:val="en-US" w:eastAsia="zh-CN"/>
              </w:rPr>
              <w:t>根据《自然保护区类型与级别划分原则》（GB/T14529-93）所确定的保护区类型划分标准，四川嘉陵江源市级湿地自然保护区属“自然生态系统类”的“内陆湿地和水域生态系统类型”自然保护区。</w:t>
            </w:r>
          </w:p>
          <w:p>
            <w:pPr>
              <w:widowControl/>
              <w:tabs>
                <w:tab w:val="left" w:pos="7472"/>
              </w:tabs>
              <w:adjustRightInd w:val="0"/>
              <w:spacing w:line="360" w:lineRule="auto"/>
              <w:ind w:firstLine="482" w:firstLineChars="200"/>
              <w:textAlignment w:val="baseline"/>
              <w:rPr>
                <w:rFonts w:hint="eastAsia"/>
                <w:b/>
                <w:bCs/>
                <w:color w:val="auto"/>
                <w:kern w:val="24"/>
                <w:sz w:val="24"/>
                <w:lang w:val="en-US" w:eastAsia="zh-CN"/>
              </w:rPr>
            </w:pPr>
            <w:r>
              <w:rPr>
                <w:rFonts w:hint="eastAsia"/>
                <w:b/>
                <w:bCs/>
                <w:color w:val="auto"/>
                <w:kern w:val="24"/>
                <w:sz w:val="24"/>
                <w:lang w:val="en-US" w:eastAsia="zh-CN"/>
              </w:rPr>
              <w:t>保护区性质</w:t>
            </w:r>
          </w:p>
          <w:p>
            <w:pPr>
              <w:widowControl/>
              <w:tabs>
                <w:tab w:val="left" w:pos="7472"/>
              </w:tabs>
              <w:adjustRightInd w:val="0"/>
              <w:spacing w:line="360" w:lineRule="auto"/>
              <w:ind w:firstLine="480" w:firstLineChars="200"/>
              <w:textAlignment w:val="baseline"/>
              <w:rPr>
                <w:rFonts w:hint="eastAsia"/>
                <w:color w:val="auto"/>
                <w:kern w:val="24"/>
                <w:sz w:val="24"/>
                <w:lang w:eastAsia="zh-CN"/>
              </w:rPr>
            </w:pPr>
            <w:r>
              <w:rPr>
                <w:rFonts w:hint="eastAsia"/>
                <w:color w:val="auto"/>
                <w:kern w:val="24"/>
                <w:sz w:val="24"/>
                <w:lang w:eastAsia="zh-CN"/>
              </w:rPr>
              <w:t>四川嘉陵江源市级湿地自然保护区以保护河流湿地生态系统和野生动植物资源为主要目的，是集物种与生态保护、科学研究、国际交流、生态与环境科普宣传、水源涵养、生态旅游和可持续利用等多功能于一体的自然保护区。</w:t>
            </w:r>
          </w:p>
          <w:p>
            <w:pPr>
              <w:widowControl/>
              <w:tabs>
                <w:tab w:val="left" w:pos="7472"/>
              </w:tabs>
              <w:adjustRightInd w:val="0"/>
              <w:spacing w:line="360" w:lineRule="auto"/>
              <w:ind w:firstLine="482" w:firstLineChars="200"/>
              <w:textAlignment w:val="baseline"/>
              <w:rPr>
                <w:rFonts w:hint="eastAsia"/>
                <w:b/>
                <w:bCs/>
                <w:color w:val="auto"/>
                <w:kern w:val="24"/>
                <w:sz w:val="24"/>
                <w:lang w:val="en-US" w:eastAsia="zh-CN"/>
              </w:rPr>
            </w:pPr>
            <w:r>
              <w:rPr>
                <w:rFonts w:hint="eastAsia"/>
                <w:b/>
                <w:bCs/>
                <w:color w:val="auto"/>
                <w:kern w:val="24"/>
                <w:sz w:val="24"/>
                <w:lang w:val="en-US" w:eastAsia="zh-CN"/>
              </w:rPr>
              <w:t>保护对象</w:t>
            </w:r>
          </w:p>
          <w:p>
            <w:pPr>
              <w:widowControl/>
              <w:tabs>
                <w:tab w:val="left" w:pos="7472"/>
              </w:tabs>
              <w:adjustRightInd w:val="0"/>
              <w:spacing w:line="360" w:lineRule="auto"/>
              <w:ind w:firstLine="480" w:firstLineChars="200"/>
              <w:textAlignment w:val="baseline"/>
              <w:rPr>
                <w:rFonts w:hint="eastAsia"/>
                <w:color w:val="auto"/>
                <w:kern w:val="24"/>
                <w:sz w:val="24"/>
                <w:lang w:eastAsia="zh-CN"/>
              </w:rPr>
            </w:pPr>
            <w:r>
              <w:rPr>
                <w:rFonts w:hint="eastAsia"/>
                <w:color w:val="auto"/>
                <w:kern w:val="24"/>
                <w:sz w:val="24"/>
                <w:lang w:eastAsia="zh-CN"/>
              </w:rPr>
              <w:t>保护区主要保护对象为四川嘉陵江源湿地生态系统及嘉陵江源水源涵养林、水环境以及野生动植物资源等。</w:t>
            </w:r>
          </w:p>
          <w:p>
            <w:pPr>
              <w:widowControl/>
              <w:tabs>
                <w:tab w:val="left" w:pos="7472"/>
              </w:tabs>
              <w:adjustRightInd w:val="0"/>
              <w:spacing w:line="360" w:lineRule="auto"/>
              <w:ind w:firstLine="482" w:firstLineChars="200"/>
              <w:textAlignment w:val="baseline"/>
              <w:rPr>
                <w:rFonts w:hint="eastAsia"/>
                <w:b/>
                <w:bCs/>
                <w:color w:val="auto"/>
                <w:kern w:val="24"/>
                <w:sz w:val="24"/>
                <w:lang w:val="en-US" w:eastAsia="zh-CN"/>
              </w:rPr>
            </w:pPr>
            <w:r>
              <w:rPr>
                <w:rFonts w:hint="eastAsia"/>
                <w:b/>
                <w:bCs/>
                <w:color w:val="auto"/>
                <w:kern w:val="24"/>
                <w:sz w:val="24"/>
                <w:lang w:val="en-US" w:eastAsia="zh-CN"/>
              </w:rPr>
              <w:t>保护区功能区划</w:t>
            </w:r>
          </w:p>
          <w:p>
            <w:pPr>
              <w:widowControl/>
              <w:tabs>
                <w:tab w:val="left" w:pos="7472"/>
              </w:tabs>
              <w:adjustRightInd w:val="0"/>
              <w:spacing w:line="360" w:lineRule="auto"/>
              <w:ind w:firstLine="480" w:firstLineChars="200"/>
              <w:textAlignment w:val="baseline"/>
              <w:rPr>
                <w:rFonts w:hint="eastAsia"/>
                <w:color w:val="auto"/>
                <w:kern w:val="24"/>
                <w:sz w:val="24"/>
                <w:lang w:eastAsia="zh-CN"/>
              </w:rPr>
            </w:pPr>
            <w:r>
              <w:rPr>
                <w:rFonts w:hint="eastAsia"/>
                <w:color w:val="auto"/>
                <w:kern w:val="24"/>
                <w:sz w:val="24"/>
                <w:lang w:val="en-US" w:eastAsia="zh-CN"/>
              </w:rPr>
              <w:t>保护区总面积为6846.70hm</w:t>
            </w:r>
            <w:r>
              <w:rPr>
                <w:rFonts w:hint="eastAsia"/>
                <w:color w:val="auto"/>
                <w:kern w:val="24"/>
                <w:sz w:val="24"/>
                <w:vertAlign w:val="superscript"/>
                <w:lang w:val="en-US" w:eastAsia="zh-CN"/>
              </w:rPr>
              <w:t>2</w:t>
            </w:r>
            <w:r>
              <w:rPr>
                <w:rFonts w:hint="eastAsia"/>
                <w:color w:val="auto"/>
                <w:kern w:val="24"/>
                <w:sz w:val="24"/>
                <w:vertAlign w:val="baseline"/>
                <w:lang w:val="en-US" w:eastAsia="zh-CN"/>
              </w:rPr>
              <w:t>，按</w:t>
            </w:r>
            <w:r>
              <w:rPr>
                <w:rFonts w:hint="eastAsia"/>
                <w:color w:val="auto"/>
                <w:kern w:val="24"/>
                <w:sz w:val="24"/>
                <w:lang w:eastAsia="zh-CN"/>
              </w:rPr>
              <w:t>功能区划分为核心区、缓冲区和实验区：</w:t>
            </w:r>
          </w:p>
          <w:p>
            <w:pPr>
              <w:widowControl/>
              <w:tabs>
                <w:tab w:val="left" w:pos="7472"/>
              </w:tabs>
              <w:adjustRightInd w:val="0"/>
              <w:spacing w:line="360" w:lineRule="auto"/>
              <w:ind w:firstLine="482" w:firstLineChars="200"/>
              <w:textAlignment w:val="baseline"/>
              <w:rPr>
                <w:rFonts w:hint="eastAsia"/>
                <w:b/>
                <w:bCs/>
                <w:color w:val="auto"/>
                <w:kern w:val="24"/>
                <w:sz w:val="24"/>
                <w:lang w:val="en-US" w:eastAsia="zh-CN"/>
              </w:rPr>
            </w:pPr>
            <w:r>
              <w:rPr>
                <w:rFonts w:hint="eastAsia"/>
                <w:b/>
                <w:bCs/>
                <w:color w:val="auto"/>
                <w:kern w:val="24"/>
                <w:sz w:val="24"/>
                <w:lang w:val="en-US" w:eastAsia="zh-CN"/>
              </w:rPr>
              <w:t>1、核心区</w:t>
            </w:r>
          </w:p>
          <w:p>
            <w:pPr>
              <w:widowControl/>
              <w:tabs>
                <w:tab w:val="left" w:pos="7472"/>
              </w:tabs>
              <w:adjustRightInd w:val="0"/>
              <w:spacing w:line="360" w:lineRule="auto"/>
              <w:ind w:firstLine="480" w:firstLineChars="200"/>
              <w:textAlignment w:val="baseline"/>
              <w:rPr>
                <w:rFonts w:hint="eastAsia"/>
                <w:color w:val="auto"/>
                <w:kern w:val="24"/>
                <w:sz w:val="24"/>
                <w:lang w:eastAsia="zh-CN"/>
              </w:rPr>
            </w:pPr>
            <w:r>
              <w:rPr>
                <w:rFonts w:hint="eastAsia"/>
                <w:color w:val="auto"/>
                <w:kern w:val="24"/>
                <w:sz w:val="24"/>
                <w:lang w:eastAsia="zh-CN"/>
              </w:rPr>
              <w:t>核心区是自然保护区的重点保护区域，是保护区主要保护对象的集中分布区域，是需要加以严格保护的区域，面积为790.05hm</w:t>
            </w:r>
            <w:r>
              <w:rPr>
                <w:rFonts w:hint="eastAsia"/>
                <w:color w:val="auto"/>
                <w:kern w:val="24"/>
                <w:sz w:val="24"/>
                <w:vertAlign w:val="superscript"/>
                <w:lang w:eastAsia="zh-CN"/>
              </w:rPr>
              <w:t>2</w:t>
            </w:r>
            <w:r>
              <w:rPr>
                <w:rFonts w:hint="eastAsia"/>
                <w:color w:val="auto"/>
                <w:kern w:val="24"/>
                <w:sz w:val="24"/>
                <w:lang w:eastAsia="zh-CN"/>
              </w:rPr>
              <w:t>。四至界：北至小地名普家山东南方269m处（坐标：E105°56′24.03"，N32°36′1.84"）；南至小地名赵家沟正西方向669m处（坐标：E105°54′46.51"，N32°34′10.84"）；西至小地名李家湾处（坐标：E105°54′10.74"，N32°35′1.42"）；东至李家沟处（坐标：E105°57′1.56"，N32°34′59.12"）。核心区是湿地水环境、生态系统以及野生动植物资源的主要分布区域。核心区实行严格保护，除湿地监测、科学研究等必要设施外，不得设置任何影响或干扰湿地生态环境的设施，未经批准任何单位和个人不得擅自进入。</w:t>
            </w:r>
          </w:p>
          <w:p>
            <w:pPr>
              <w:widowControl/>
              <w:tabs>
                <w:tab w:val="left" w:pos="7472"/>
              </w:tabs>
              <w:adjustRightInd w:val="0"/>
              <w:spacing w:line="360" w:lineRule="auto"/>
              <w:ind w:firstLine="482" w:firstLineChars="200"/>
              <w:textAlignment w:val="baseline"/>
              <w:rPr>
                <w:rFonts w:hint="eastAsia"/>
                <w:b/>
                <w:bCs/>
                <w:color w:val="auto"/>
                <w:kern w:val="24"/>
                <w:sz w:val="24"/>
                <w:lang w:val="en-US" w:eastAsia="zh-CN"/>
              </w:rPr>
            </w:pPr>
            <w:r>
              <w:rPr>
                <w:rFonts w:hint="eastAsia"/>
                <w:b/>
                <w:bCs/>
                <w:color w:val="auto"/>
                <w:kern w:val="24"/>
                <w:sz w:val="24"/>
                <w:lang w:val="en-US" w:eastAsia="zh-CN"/>
              </w:rPr>
              <w:t>2、缓冲区</w:t>
            </w:r>
          </w:p>
          <w:p>
            <w:pPr>
              <w:widowControl/>
              <w:tabs>
                <w:tab w:val="left" w:pos="7472"/>
              </w:tabs>
              <w:adjustRightInd w:val="0"/>
              <w:spacing w:line="360" w:lineRule="auto"/>
              <w:ind w:firstLine="480" w:firstLineChars="200"/>
              <w:textAlignment w:val="baseline"/>
              <w:rPr>
                <w:rFonts w:hint="eastAsia"/>
                <w:color w:val="auto"/>
                <w:kern w:val="24"/>
                <w:sz w:val="24"/>
                <w:lang w:eastAsia="zh-CN"/>
              </w:rPr>
            </w:pPr>
            <w:r>
              <w:rPr>
                <w:rFonts w:hint="eastAsia"/>
                <w:color w:val="auto"/>
                <w:kern w:val="24"/>
                <w:sz w:val="24"/>
                <w:lang w:eastAsia="zh-CN"/>
              </w:rPr>
              <w:t>缓冲区是指在核心区外围为保护、防止和减缓外界对核心区造成影响和干扰所划出的区域，面积为499.25hm</w:t>
            </w:r>
            <w:r>
              <w:rPr>
                <w:rFonts w:hint="eastAsia"/>
                <w:color w:val="auto"/>
                <w:kern w:val="24"/>
                <w:sz w:val="24"/>
                <w:vertAlign w:val="superscript"/>
                <w:lang w:eastAsia="zh-CN"/>
              </w:rPr>
              <w:t>2</w:t>
            </w:r>
            <w:r>
              <w:rPr>
                <w:rFonts w:hint="eastAsia"/>
                <w:color w:val="auto"/>
                <w:kern w:val="24"/>
                <w:sz w:val="24"/>
                <w:lang w:eastAsia="zh-CN"/>
              </w:rPr>
              <w:t>。四至界：北至小地名彭家山处（坐标：E105°55′59.31"，N32°36′24.45"）；南至小地名班竹河坝正东方向758m处（坐标：E105°54′55.06"，N32°33′59.48"）；西至小地名云家湾正西方向295m处（坐标：E105°53′56.94"，N32°34′53.06"）；东至石咀梁正北方向269m处（坐标：E105°57′12.03"，N32°34′48.37"）。缓冲区为核心区和实验区之间的区域，区内禁止开展旅游资源开发等活动，可允许进行经过管理机构批准的非破坏性科学研究活动。</w:t>
            </w:r>
          </w:p>
          <w:p>
            <w:pPr>
              <w:widowControl/>
              <w:tabs>
                <w:tab w:val="left" w:pos="7472"/>
              </w:tabs>
              <w:adjustRightInd w:val="0"/>
              <w:spacing w:line="360" w:lineRule="auto"/>
              <w:ind w:firstLine="482" w:firstLineChars="200"/>
              <w:textAlignment w:val="baseline"/>
              <w:rPr>
                <w:rFonts w:hint="eastAsia"/>
                <w:b/>
                <w:bCs/>
                <w:color w:val="auto"/>
                <w:kern w:val="24"/>
                <w:sz w:val="24"/>
                <w:lang w:val="en-US" w:eastAsia="zh-CN"/>
              </w:rPr>
            </w:pPr>
            <w:r>
              <w:rPr>
                <w:rFonts w:hint="eastAsia"/>
                <w:b/>
                <w:bCs/>
                <w:color w:val="auto"/>
                <w:kern w:val="24"/>
                <w:sz w:val="24"/>
                <w:lang w:val="en-US" w:eastAsia="zh-CN"/>
              </w:rPr>
              <w:t>3、实验区</w:t>
            </w:r>
          </w:p>
          <w:p>
            <w:pPr>
              <w:widowControl/>
              <w:tabs>
                <w:tab w:val="left" w:pos="7472"/>
              </w:tabs>
              <w:adjustRightInd w:val="0"/>
              <w:spacing w:line="360" w:lineRule="auto"/>
              <w:ind w:firstLine="480" w:firstLineChars="200"/>
              <w:textAlignment w:val="baseline"/>
              <w:rPr>
                <w:rFonts w:hint="eastAsia"/>
                <w:color w:val="auto"/>
                <w:kern w:val="24"/>
                <w:sz w:val="24"/>
                <w:lang w:eastAsia="zh-CN"/>
              </w:rPr>
            </w:pPr>
            <w:r>
              <w:rPr>
                <w:rFonts w:hint="eastAsia"/>
                <w:color w:val="auto"/>
                <w:kern w:val="24"/>
                <w:sz w:val="24"/>
                <w:lang w:eastAsia="zh-CN"/>
              </w:rPr>
              <w:t>实验区是指自然保护区内可进行多种科学实验的区域，面积为5557.4hm</w:t>
            </w:r>
            <w:r>
              <w:rPr>
                <w:rFonts w:hint="eastAsia"/>
                <w:color w:val="auto"/>
                <w:kern w:val="24"/>
                <w:sz w:val="24"/>
                <w:vertAlign w:val="superscript"/>
                <w:lang w:eastAsia="zh-CN"/>
              </w:rPr>
              <w:t>2</w:t>
            </w:r>
            <w:r>
              <w:rPr>
                <w:rFonts w:hint="eastAsia"/>
                <w:color w:val="auto"/>
                <w:kern w:val="24"/>
                <w:sz w:val="24"/>
                <w:lang w:eastAsia="zh-CN"/>
              </w:rPr>
              <w:t>。实验区是保护区内除核心区、缓冲区外的其它区域。四至界：北至小地名李家山西南方488m处（坐标：E105°47′6.65"，N32°38′42.33"）；南至小地名燕家山正北方向330m处（坐标：E105°50′8.10"，N32°31′17.55"）；西至小地名黄家梁正东方向607m处（坐标：E105°47′0.61"，N32°37′46.00"）；东至李家坪正北方向422m山脊处（坐标：E105°57′32.82"，N32°36′7.18"）。实验区内可以从事科学实验、参观考察、生态旅游、野生动植物的驯养繁殖及其他有价值资源的开发利用等。</w:t>
            </w:r>
          </w:p>
          <w:p>
            <w:pPr>
              <w:widowControl/>
              <w:tabs>
                <w:tab w:val="left" w:pos="7472"/>
              </w:tabs>
              <w:adjustRightInd w:val="0"/>
              <w:spacing w:line="360" w:lineRule="auto"/>
              <w:ind w:firstLine="480" w:firstLineChars="200"/>
              <w:textAlignment w:val="baseline"/>
              <w:rPr>
                <w:rFonts w:hint="eastAsia"/>
                <w:color w:val="auto"/>
                <w:kern w:val="24"/>
                <w:sz w:val="24"/>
                <w:lang w:val="en-US" w:eastAsia="zh-CN"/>
              </w:rPr>
            </w:pPr>
            <w:r>
              <w:rPr>
                <w:rFonts w:hint="eastAsia"/>
                <w:color w:val="auto"/>
                <w:kern w:val="24"/>
                <w:sz w:val="24"/>
                <w:lang w:eastAsia="zh-CN"/>
              </w:rPr>
              <w:t>本项目部分建设段处于四川嘉陵江源市级湿地自然保护区实验区内，长度约1883m（2段堤防1609m，围堰274m，工程清淤区位于保护区外侧），</w:t>
            </w:r>
            <w:r>
              <w:rPr>
                <w:rFonts w:hint="eastAsia"/>
                <w:color w:val="auto"/>
                <w:kern w:val="24"/>
                <w:sz w:val="24"/>
                <w:lang w:val="en-US" w:eastAsia="zh-CN"/>
              </w:rPr>
              <w:t>本项目与《四川嘉陵江源市级湿地自然保护区规划》符合性分析见下表。</w:t>
            </w:r>
          </w:p>
          <w:p>
            <w:pPr>
              <w:pStyle w:val="63"/>
              <w:numPr>
                <w:ilvl w:val="0"/>
                <w:numId w:val="5"/>
              </w:numPr>
              <w:autoSpaceDE w:val="0"/>
              <w:autoSpaceDN w:val="0"/>
              <w:adjustRightInd w:val="0"/>
              <w:snapToGrid w:val="0"/>
              <w:ind w:left="0" w:firstLine="0"/>
              <w:rPr>
                <w:b/>
                <w:color w:val="auto"/>
                <w:szCs w:val="21"/>
              </w:rPr>
            </w:pPr>
            <w:r>
              <w:rPr>
                <w:b/>
                <w:color w:val="auto"/>
                <w:szCs w:val="21"/>
              </w:rPr>
              <w:t>与</w:t>
            </w:r>
            <w:r>
              <w:rPr>
                <w:rFonts w:hint="eastAsia"/>
                <w:b/>
                <w:color w:val="auto"/>
                <w:szCs w:val="21"/>
                <w:lang w:val="en-US" w:eastAsia="zh-CN"/>
              </w:rPr>
              <w:t>《四川嘉陵江源市级湿地自然保护区规划》</w:t>
            </w:r>
            <w:r>
              <w:rPr>
                <w:b/>
                <w:color w:val="auto"/>
                <w:szCs w:val="21"/>
              </w:rPr>
              <w:t>的符合性分析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3183"/>
              <w:gridCol w:w="4217"/>
              <w:gridCol w:w="6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04" w:type="pct"/>
                  <w:vAlign w:val="center"/>
                </w:tcPr>
                <w:p>
                  <w:pPr>
                    <w:widowControl/>
                    <w:jc w:val="center"/>
                    <w:rPr>
                      <w:b/>
                      <w:bCs/>
                      <w:color w:val="auto"/>
                      <w:kern w:val="0"/>
                      <w:szCs w:val="21"/>
                    </w:rPr>
                  </w:pPr>
                  <w:r>
                    <w:rPr>
                      <w:b/>
                      <w:bCs/>
                      <w:color w:val="auto"/>
                      <w:kern w:val="0"/>
                      <w:szCs w:val="21"/>
                    </w:rPr>
                    <w:t>文件</w:t>
                  </w:r>
                </w:p>
              </w:tc>
              <w:tc>
                <w:tcPr>
                  <w:tcW w:w="1743" w:type="pct"/>
                  <w:vAlign w:val="center"/>
                </w:tcPr>
                <w:p>
                  <w:pPr>
                    <w:widowControl/>
                    <w:jc w:val="center"/>
                    <w:rPr>
                      <w:b/>
                      <w:bCs/>
                      <w:color w:val="auto"/>
                      <w:kern w:val="0"/>
                      <w:szCs w:val="21"/>
                    </w:rPr>
                  </w:pPr>
                  <w:r>
                    <w:rPr>
                      <w:b/>
                      <w:bCs/>
                      <w:color w:val="auto"/>
                      <w:kern w:val="0"/>
                      <w:szCs w:val="21"/>
                    </w:rPr>
                    <w:t>要求</w:t>
                  </w:r>
                </w:p>
              </w:tc>
              <w:tc>
                <w:tcPr>
                  <w:tcW w:w="2309" w:type="pct"/>
                  <w:vAlign w:val="center"/>
                </w:tcPr>
                <w:p>
                  <w:pPr>
                    <w:widowControl/>
                    <w:jc w:val="center"/>
                    <w:rPr>
                      <w:b/>
                      <w:bCs/>
                      <w:color w:val="auto"/>
                      <w:kern w:val="0"/>
                      <w:szCs w:val="21"/>
                    </w:rPr>
                  </w:pPr>
                  <w:r>
                    <w:rPr>
                      <w:b/>
                      <w:bCs/>
                      <w:color w:val="auto"/>
                      <w:kern w:val="0"/>
                      <w:szCs w:val="21"/>
                    </w:rPr>
                    <w:t>本项目</w:t>
                  </w:r>
                </w:p>
              </w:tc>
              <w:tc>
                <w:tcPr>
                  <w:tcW w:w="342"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04" w:type="pct"/>
                  <w:vAlign w:val="center"/>
                </w:tcPr>
                <w:p>
                  <w:pPr>
                    <w:jc w:val="center"/>
                    <w:rPr>
                      <w:rFonts w:hint="eastAsia" w:eastAsia="宋体"/>
                      <w:color w:val="auto"/>
                      <w:lang w:eastAsia="zh-CN"/>
                    </w:rPr>
                  </w:pPr>
                  <w:r>
                    <w:rPr>
                      <w:rFonts w:hint="eastAsia"/>
                      <w:color w:val="auto"/>
                      <w:lang w:eastAsia="zh-CN"/>
                    </w:rPr>
                    <w:t>《</w:t>
                  </w:r>
                  <w:r>
                    <w:rPr>
                      <w:rFonts w:hint="eastAsia"/>
                      <w:bCs/>
                      <w:color w:val="auto"/>
                      <w:szCs w:val="21"/>
                    </w:rPr>
                    <w:t>四川嘉陵江源市级湿地自然保护区规划</w:t>
                  </w:r>
                  <w:r>
                    <w:rPr>
                      <w:rFonts w:hint="eastAsia"/>
                      <w:color w:val="auto"/>
                      <w:lang w:eastAsia="zh-CN"/>
                    </w:rPr>
                    <w:t>》</w:t>
                  </w:r>
                </w:p>
              </w:tc>
              <w:tc>
                <w:tcPr>
                  <w:tcW w:w="1743" w:type="pct"/>
                  <w:vAlign w:val="center"/>
                </w:tcPr>
                <w:p>
                  <w:pPr>
                    <w:jc w:val="left"/>
                    <w:rPr>
                      <w:color w:val="auto"/>
                    </w:rPr>
                  </w:pPr>
                  <w:r>
                    <w:rPr>
                      <w:rFonts w:hint="eastAsia"/>
                      <w:color w:val="auto"/>
                    </w:rPr>
                    <w:t>实验区是指自然</w:t>
                  </w:r>
                  <w:r>
                    <w:rPr>
                      <w:color w:val="auto"/>
                    </w:rPr>
                    <w:t>保护区内可进行多种科学实验的区域，面积为5557.4hm</w:t>
                  </w:r>
                  <w:r>
                    <w:rPr>
                      <w:color w:val="auto"/>
                      <w:vertAlign w:val="superscript"/>
                    </w:rPr>
                    <w:t>2</w:t>
                  </w:r>
                  <w:r>
                    <w:rPr>
                      <w:color w:val="auto"/>
                    </w:rPr>
                    <w:t>。 实验区是保护区内除核心区、缓冲区外的其它区域。实验区内可以从事科学实验、参观考察、生态旅游、野生动植物的驯养繁殖及其它有价值资源的开发利用等。</w:t>
                  </w:r>
                </w:p>
              </w:tc>
              <w:tc>
                <w:tcPr>
                  <w:tcW w:w="2309" w:type="pct"/>
                  <w:vAlign w:val="center"/>
                </w:tcPr>
                <w:p>
                  <w:pPr>
                    <w:jc w:val="left"/>
                    <w:rPr>
                      <w:rFonts w:hint="eastAsia"/>
                      <w:color w:val="auto"/>
                      <w:kern w:val="28"/>
                      <w:szCs w:val="21"/>
                      <w:lang w:eastAsia="zh-CN"/>
                    </w:rPr>
                  </w:pPr>
                  <w:r>
                    <w:rPr>
                      <w:bCs/>
                      <w:color w:val="auto"/>
                      <w:szCs w:val="21"/>
                    </w:rPr>
                    <w:t>本项目属于</w:t>
                  </w:r>
                  <w:r>
                    <w:rPr>
                      <w:rFonts w:hint="eastAsia"/>
                      <w:bCs/>
                      <w:color w:val="auto"/>
                      <w:szCs w:val="21"/>
                    </w:rPr>
                    <w:t>防洪治理工程</w:t>
                  </w:r>
                  <w:r>
                    <w:rPr>
                      <w:bCs/>
                      <w:color w:val="auto"/>
                      <w:szCs w:val="21"/>
                    </w:rPr>
                    <w:t>，</w:t>
                  </w:r>
                  <w:r>
                    <w:rPr>
                      <w:rFonts w:hint="eastAsia"/>
                      <w:color w:val="auto"/>
                      <w:kern w:val="28"/>
                      <w:szCs w:val="21"/>
                    </w:rPr>
                    <w:t>本工程的建设主要是保护周边居民及耕地</w:t>
                  </w:r>
                  <w:r>
                    <w:rPr>
                      <w:rFonts w:hint="eastAsia"/>
                      <w:color w:val="auto"/>
                      <w:kern w:val="28"/>
                      <w:szCs w:val="21"/>
                      <w:lang w:eastAsia="zh-CN"/>
                    </w:rPr>
                    <w:t>。</w:t>
                  </w:r>
                </w:p>
                <w:p>
                  <w:pPr>
                    <w:jc w:val="left"/>
                    <w:rPr>
                      <w:color w:val="auto"/>
                    </w:rPr>
                  </w:pPr>
                  <w:r>
                    <w:rPr>
                      <w:rFonts w:eastAsia="宋体"/>
                      <w:color w:val="auto"/>
                      <w:sz w:val="21"/>
                    </w:rPr>
                    <w:t>项目已委托成都华泓景观设计有限公司编制《四川省朝天区广坪河羊木段防洪治理工程项目对四川嘉陵江源湿地市级自然保护区自然资源、自然生态系统和主要保护对象影响评价报告》，目前已经报批</w:t>
                  </w:r>
                  <w:r>
                    <w:rPr>
                      <w:rFonts w:hint="eastAsia" w:eastAsia="宋体"/>
                      <w:color w:val="auto"/>
                      <w:sz w:val="21"/>
                      <w:lang w:eastAsia="zh-CN"/>
                    </w:rPr>
                    <w:t>，</w:t>
                  </w:r>
                  <w:r>
                    <w:rPr>
                      <w:rFonts w:eastAsia="宋体"/>
                      <w:color w:val="auto"/>
                      <w:sz w:val="21"/>
                    </w:rPr>
                    <w:t>报告已通过四川林业和草原局审查，</w:t>
                  </w:r>
                  <w:r>
                    <w:rPr>
                      <w:rFonts w:hint="eastAsia" w:eastAsia="宋体"/>
                      <w:color w:val="auto"/>
                      <w:sz w:val="21"/>
                      <w:lang w:val="en-US" w:eastAsia="zh-CN"/>
                    </w:rPr>
                    <w:t>取得其出具的审查意见复函</w:t>
                  </w:r>
                  <w:r>
                    <w:rPr>
                      <w:color w:val="auto"/>
                    </w:rPr>
                    <w:t>。</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bl>
          <w:p>
            <w:pPr>
              <w:widowControl/>
              <w:tabs>
                <w:tab w:val="left" w:pos="7472"/>
              </w:tabs>
              <w:adjustRightInd w:val="0"/>
              <w:spacing w:line="360" w:lineRule="auto"/>
              <w:textAlignment w:val="baseline"/>
              <w:rPr>
                <w:b/>
                <w:bCs/>
                <w:color w:val="auto"/>
                <w:kern w:val="24"/>
                <w:sz w:val="24"/>
              </w:rPr>
            </w:pPr>
            <w:r>
              <w:rPr>
                <w:rFonts w:hint="eastAsia"/>
                <w:b/>
                <w:bCs/>
                <w:color w:val="auto"/>
                <w:kern w:val="24"/>
                <w:sz w:val="24"/>
                <w:lang w:val="en-US" w:eastAsia="zh-CN"/>
              </w:rPr>
              <w:t>五、</w:t>
            </w:r>
            <w:r>
              <w:rPr>
                <w:b/>
                <w:bCs/>
                <w:color w:val="auto"/>
                <w:kern w:val="24"/>
                <w:sz w:val="24"/>
              </w:rPr>
              <w:t>项目与铁路、公路安全管理条例符合性分析</w:t>
            </w:r>
          </w:p>
          <w:p>
            <w:pPr>
              <w:widowControl/>
              <w:tabs>
                <w:tab w:val="left" w:pos="7472"/>
              </w:tabs>
              <w:adjustRightInd w:val="0"/>
              <w:spacing w:line="360" w:lineRule="auto"/>
              <w:ind w:firstLine="480" w:firstLineChars="200"/>
              <w:textAlignment w:val="baseline"/>
              <w:rPr>
                <w:color w:val="auto"/>
                <w:kern w:val="24"/>
                <w:sz w:val="24"/>
              </w:rPr>
            </w:pPr>
            <w:r>
              <w:rPr>
                <w:color w:val="auto"/>
                <w:kern w:val="24"/>
                <w:sz w:val="24"/>
              </w:rPr>
              <w:t>本项目与《铁路安全管理条例》（国务院令第639 号）、《公路安全保护条例》（国令第593 号）符合性分析见下表。</w:t>
            </w:r>
          </w:p>
          <w:p>
            <w:pPr>
              <w:pStyle w:val="63"/>
              <w:numPr>
                <w:ilvl w:val="0"/>
                <w:numId w:val="5"/>
              </w:numPr>
              <w:autoSpaceDE w:val="0"/>
              <w:autoSpaceDN w:val="0"/>
              <w:adjustRightInd w:val="0"/>
              <w:snapToGrid w:val="0"/>
              <w:ind w:left="0" w:firstLine="0"/>
              <w:rPr>
                <w:b/>
                <w:color w:val="auto"/>
                <w:szCs w:val="21"/>
              </w:rPr>
            </w:pPr>
            <w:r>
              <w:rPr>
                <w:b/>
                <w:color w:val="auto"/>
                <w:szCs w:val="21"/>
              </w:rPr>
              <w:t>与铁路、公路安全管理条例的符合性分析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5628"/>
              <w:gridCol w:w="2002"/>
              <w:gridCol w:w="6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Align w:val="center"/>
                </w:tcPr>
                <w:p>
                  <w:pPr>
                    <w:widowControl/>
                    <w:jc w:val="center"/>
                    <w:rPr>
                      <w:b/>
                      <w:bCs/>
                      <w:color w:val="auto"/>
                      <w:kern w:val="0"/>
                      <w:szCs w:val="21"/>
                    </w:rPr>
                  </w:pPr>
                  <w:r>
                    <w:rPr>
                      <w:b/>
                      <w:bCs/>
                      <w:color w:val="auto"/>
                      <w:kern w:val="0"/>
                      <w:szCs w:val="21"/>
                    </w:rPr>
                    <w:t>文件</w:t>
                  </w:r>
                </w:p>
              </w:tc>
              <w:tc>
                <w:tcPr>
                  <w:tcW w:w="3082" w:type="pct"/>
                  <w:vAlign w:val="center"/>
                </w:tcPr>
                <w:p>
                  <w:pPr>
                    <w:widowControl/>
                    <w:jc w:val="center"/>
                    <w:rPr>
                      <w:b/>
                      <w:bCs/>
                      <w:color w:val="auto"/>
                      <w:kern w:val="0"/>
                      <w:szCs w:val="21"/>
                    </w:rPr>
                  </w:pPr>
                  <w:r>
                    <w:rPr>
                      <w:b/>
                      <w:bCs/>
                      <w:color w:val="auto"/>
                      <w:kern w:val="0"/>
                      <w:szCs w:val="21"/>
                    </w:rPr>
                    <w:t>要求</w:t>
                  </w:r>
                </w:p>
              </w:tc>
              <w:tc>
                <w:tcPr>
                  <w:tcW w:w="1096" w:type="pct"/>
                  <w:vAlign w:val="center"/>
                </w:tcPr>
                <w:p>
                  <w:pPr>
                    <w:widowControl/>
                    <w:jc w:val="center"/>
                    <w:rPr>
                      <w:b/>
                      <w:bCs/>
                      <w:color w:val="auto"/>
                      <w:kern w:val="0"/>
                      <w:szCs w:val="21"/>
                    </w:rPr>
                  </w:pPr>
                  <w:r>
                    <w:rPr>
                      <w:b/>
                      <w:bCs/>
                      <w:color w:val="auto"/>
                      <w:kern w:val="0"/>
                      <w:szCs w:val="21"/>
                    </w:rPr>
                    <w:t>本项目</w:t>
                  </w:r>
                </w:p>
              </w:tc>
              <w:tc>
                <w:tcPr>
                  <w:tcW w:w="342"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restart"/>
                  <w:vAlign w:val="center"/>
                </w:tcPr>
                <w:p>
                  <w:pPr>
                    <w:jc w:val="center"/>
                    <w:rPr>
                      <w:color w:val="auto"/>
                    </w:rPr>
                  </w:pPr>
                  <w:r>
                    <w:rPr>
                      <w:color w:val="auto"/>
                    </w:rPr>
                    <w:t>《铁路安全管理条例》（国</w:t>
                  </w:r>
                </w:p>
                <w:p>
                  <w:pPr>
                    <w:jc w:val="center"/>
                    <w:rPr>
                      <w:color w:val="auto"/>
                    </w:rPr>
                  </w:pPr>
                  <w:r>
                    <w:rPr>
                      <w:color w:val="auto"/>
                    </w:rPr>
                    <w:t>务院令第</w:t>
                  </w:r>
                  <w:r>
                    <w:rPr>
                      <w:rFonts w:eastAsia="TimesNewRomanPSMT"/>
                      <w:color w:val="auto"/>
                    </w:rPr>
                    <w:t>639</w:t>
                  </w:r>
                  <w:r>
                    <w:rPr>
                      <w:color w:val="auto"/>
                    </w:rPr>
                    <w:t>号）</w:t>
                  </w:r>
                </w:p>
              </w:tc>
              <w:tc>
                <w:tcPr>
                  <w:tcW w:w="3082" w:type="pct"/>
                  <w:vAlign w:val="center"/>
                </w:tcPr>
                <w:p>
                  <w:pPr>
                    <w:jc w:val="left"/>
                    <w:rPr>
                      <w:color w:val="auto"/>
                    </w:rPr>
                  </w:pPr>
                  <w:r>
                    <w:rPr>
                      <w:color w:val="auto"/>
                    </w:rPr>
                    <w:t>第三十四条 在铁路线路两侧从事采矿、采石或者爆破作业，应当遵守有关采矿和民用爆破的法律法规，符合国家标准、行业标准和铁路安全保护要求。</w:t>
                  </w:r>
                </w:p>
              </w:tc>
              <w:tc>
                <w:tcPr>
                  <w:tcW w:w="1096" w:type="pct"/>
                  <w:vAlign w:val="center"/>
                </w:tcPr>
                <w:p>
                  <w:pPr>
                    <w:jc w:val="left"/>
                    <w:rPr>
                      <w:color w:val="auto"/>
                    </w:rPr>
                  </w:pPr>
                  <w:r>
                    <w:rPr>
                      <w:color w:val="auto"/>
                    </w:rPr>
                    <w:t>本项目为防洪治理工程，不涉及采矿、采石或爆破作业。</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continue"/>
                  <w:vAlign w:val="center"/>
                </w:tcPr>
                <w:p>
                  <w:pPr>
                    <w:jc w:val="center"/>
                    <w:rPr>
                      <w:color w:val="auto"/>
                    </w:rPr>
                  </w:pPr>
                </w:p>
              </w:tc>
              <w:tc>
                <w:tcPr>
                  <w:tcW w:w="3082" w:type="pct"/>
                  <w:vAlign w:val="center"/>
                </w:tcPr>
                <w:p>
                  <w:pPr>
                    <w:jc w:val="left"/>
                    <w:rPr>
                      <w:color w:val="auto"/>
                    </w:rPr>
                  </w:pPr>
                  <w:r>
                    <w:rPr>
                      <w:color w:val="auto"/>
                    </w:rPr>
                    <w:t>第三十五条 高速铁路线路路堤坡脚、路堑坡顶或者铁路桥梁外侧起向外各</w:t>
                  </w:r>
                  <w:r>
                    <w:rPr>
                      <w:rFonts w:eastAsia="TimesNewRomanPSMT"/>
                      <w:color w:val="auto"/>
                    </w:rPr>
                    <w:t>200</w:t>
                  </w:r>
                  <w:r>
                    <w:rPr>
                      <w:color w:val="auto"/>
                    </w:rPr>
                    <w:t>米范围内禁止抽取地下水。</w:t>
                  </w:r>
                </w:p>
              </w:tc>
              <w:tc>
                <w:tcPr>
                  <w:tcW w:w="1096" w:type="pct"/>
                  <w:vAlign w:val="center"/>
                </w:tcPr>
                <w:p>
                  <w:pPr>
                    <w:jc w:val="left"/>
                    <w:rPr>
                      <w:color w:val="auto"/>
                    </w:rPr>
                  </w:pPr>
                  <w:r>
                    <w:rPr>
                      <w:color w:val="auto"/>
                    </w:rPr>
                    <w:t>本项目不涉及抽取地下水</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continue"/>
                  <w:vAlign w:val="center"/>
                </w:tcPr>
                <w:p>
                  <w:pPr>
                    <w:jc w:val="center"/>
                    <w:rPr>
                      <w:color w:val="auto"/>
                    </w:rPr>
                  </w:pPr>
                </w:p>
              </w:tc>
              <w:tc>
                <w:tcPr>
                  <w:tcW w:w="3082" w:type="pct"/>
                  <w:vAlign w:val="center"/>
                </w:tcPr>
                <w:p>
                  <w:pPr>
                    <w:jc w:val="left"/>
                    <w:rPr>
                      <w:color w:val="auto"/>
                    </w:rPr>
                  </w:pPr>
                  <w:r>
                    <w:rPr>
                      <w:color w:val="auto"/>
                    </w:rPr>
                    <w:t>第三十七条 任何单位和个人不得擅自在铁路桥梁跨越处河道上下游各</w:t>
                  </w:r>
                  <w:r>
                    <w:rPr>
                      <w:rFonts w:eastAsia="TimesNewRomanPSMT"/>
                      <w:color w:val="auto"/>
                    </w:rPr>
                    <w:t>1000</w:t>
                  </w:r>
                  <w:r>
                    <w:rPr>
                      <w:color w:val="auto"/>
                    </w:rPr>
                    <w:t>米范围内围垦造田、拦河筑坝、架设浮桥或者修建其他影响铁路桥梁安全的设施。</w:t>
                  </w:r>
                </w:p>
              </w:tc>
              <w:tc>
                <w:tcPr>
                  <w:tcW w:w="1096" w:type="pct"/>
                  <w:vAlign w:val="center"/>
                </w:tcPr>
                <w:p>
                  <w:pPr>
                    <w:jc w:val="left"/>
                    <w:rPr>
                      <w:color w:val="auto"/>
                    </w:rPr>
                  </w:pPr>
                  <w:r>
                    <w:rPr>
                      <w:color w:val="auto"/>
                    </w:rPr>
                    <w:t>本项目不进行围垦造田、拦河筑坝、架设浮桥或者修建其他影响铁路桥梁安全的设施</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continue"/>
                  <w:vAlign w:val="center"/>
                </w:tcPr>
                <w:p>
                  <w:pPr>
                    <w:jc w:val="center"/>
                    <w:rPr>
                      <w:color w:val="auto"/>
                    </w:rPr>
                  </w:pPr>
                </w:p>
              </w:tc>
              <w:tc>
                <w:tcPr>
                  <w:tcW w:w="3082" w:type="pct"/>
                  <w:vAlign w:val="center"/>
                </w:tcPr>
                <w:p>
                  <w:pPr>
                    <w:jc w:val="left"/>
                    <w:rPr>
                      <w:color w:val="auto"/>
                    </w:rPr>
                  </w:pPr>
                  <w:r>
                    <w:rPr>
                      <w:color w:val="auto"/>
                    </w:rPr>
                    <w:t>第三十八条 禁止在铁路桥梁跨越处河道上下游的下列范围内采砂、淘金：</w:t>
                  </w:r>
                </w:p>
                <w:p>
                  <w:pPr>
                    <w:jc w:val="left"/>
                    <w:rPr>
                      <w:color w:val="auto"/>
                    </w:rPr>
                  </w:pPr>
                  <w:r>
                    <w:rPr>
                      <w:color w:val="auto"/>
                    </w:rPr>
                    <w:t>（一）跨河桥长</w:t>
                  </w:r>
                  <w:r>
                    <w:rPr>
                      <w:rFonts w:eastAsia="TimesNewRomanPSMT"/>
                      <w:color w:val="auto"/>
                    </w:rPr>
                    <w:t>500</w:t>
                  </w:r>
                  <w:r>
                    <w:rPr>
                      <w:color w:val="auto"/>
                    </w:rPr>
                    <w:t>米以上的铁路桥梁，河道上游</w:t>
                  </w:r>
                  <w:r>
                    <w:rPr>
                      <w:rFonts w:eastAsia="TimesNewRomanPSMT"/>
                      <w:color w:val="auto"/>
                    </w:rPr>
                    <w:t>500</w:t>
                  </w:r>
                  <w:r>
                    <w:rPr>
                      <w:color w:val="auto"/>
                    </w:rPr>
                    <w:t>米，下游</w:t>
                  </w:r>
                  <w:r>
                    <w:rPr>
                      <w:rFonts w:eastAsia="TimesNewRomanPSMT"/>
                      <w:color w:val="auto"/>
                    </w:rPr>
                    <w:t>3000</w:t>
                  </w:r>
                  <w:r>
                    <w:rPr>
                      <w:color w:val="auto"/>
                    </w:rPr>
                    <w:t>米；</w:t>
                  </w:r>
                </w:p>
                <w:p>
                  <w:pPr>
                    <w:jc w:val="left"/>
                    <w:rPr>
                      <w:color w:val="auto"/>
                    </w:rPr>
                  </w:pPr>
                  <w:r>
                    <w:rPr>
                      <w:color w:val="auto"/>
                    </w:rPr>
                    <w:t>（二）跨河桥长</w:t>
                  </w:r>
                  <w:r>
                    <w:rPr>
                      <w:rFonts w:eastAsia="TimesNewRomanPSMT"/>
                      <w:color w:val="auto"/>
                    </w:rPr>
                    <w:t>100</w:t>
                  </w:r>
                  <w:r>
                    <w:rPr>
                      <w:color w:val="auto"/>
                    </w:rPr>
                    <w:t>米以上不足</w:t>
                  </w:r>
                  <w:r>
                    <w:rPr>
                      <w:rFonts w:eastAsia="TimesNewRomanPSMT"/>
                      <w:color w:val="auto"/>
                    </w:rPr>
                    <w:t>500</w:t>
                  </w:r>
                  <w:r>
                    <w:rPr>
                      <w:color w:val="auto"/>
                    </w:rPr>
                    <w:t>米的铁路桥梁，河道上游</w:t>
                  </w:r>
                  <w:r>
                    <w:rPr>
                      <w:rFonts w:eastAsia="TimesNewRomanPSMT"/>
                      <w:color w:val="auto"/>
                    </w:rPr>
                    <w:t>500</w:t>
                  </w:r>
                  <w:r>
                    <w:rPr>
                      <w:color w:val="auto"/>
                    </w:rPr>
                    <w:t>米，下游</w:t>
                  </w:r>
                  <w:r>
                    <w:rPr>
                      <w:rFonts w:eastAsia="TimesNewRomanPSMT"/>
                      <w:color w:val="auto"/>
                    </w:rPr>
                    <w:t>2000</w:t>
                  </w:r>
                  <w:r>
                    <w:rPr>
                      <w:color w:val="auto"/>
                    </w:rPr>
                    <w:t>米；</w:t>
                  </w:r>
                </w:p>
                <w:p>
                  <w:pPr>
                    <w:jc w:val="left"/>
                    <w:rPr>
                      <w:color w:val="auto"/>
                    </w:rPr>
                  </w:pPr>
                  <w:r>
                    <w:rPr>
                      <w:color w:val="auto"/>
                    </w:rPr>
                    <w:t>（三）跨河桥长不足</w:t>
                  </w:r>
                  <w:r>
                    <w:rPr>
                      <w:rFonts w:eastAsia="TimesNewRomanPSMT"/>
                      <w:color w:val="auto"/>
                    </w:rPr>
                    <w:t>100</w:t>
                  </w:r>
                  <w:r>
                    <w:rPr>
                      <w:color w:val="auto"/>
                    </w:rPr>
                    <w:t>米的铁路桥梁，河道上游</w:t>
                  </w:r>
                  <w:r>
                    <w:rPr>
                      <w:rFonts w:eastAsia="TimesNewRomanPSMT"/>
                      <w:color w:val="auto"/>
                    </w:rPr>
                    <w:t>500</w:t>
                  </w:r>
                  <w:r>
                    <w:rPr>
                      <w:color w:val="auto"/>
                    </w:rPr>
                    <w:t>米，下游</w:t>
                  </w:r>
                  <w:r>
                    <w:rPr>
                      <w:rFonts w:eastAsia="TimesNewRomanPSMT"/>
                      <w:color w:val="auto"/>
                    </w:rPr>
                    <w:t>1000</w:t>
                  </w:r>
                  <w:r>
                    <w:rPr>
                      <w:color w:val="auto"/>
                    </w:rPr>
                    <w:t>米。</w:t>
                  </w:r>
                </w:p>
                <w:p>
                  <w:pPr>
                    <w:jc w:val="left"/>
                    <w:rPr>
                      <w:color w:val="auto"/>
                    </w:rPr>
                  </w:pPr>
                  <w:r>
                    <w:rPr>
                      <w:color w:val="auto"/>
                    </w:rPr>
                    <w:t>有关部门依法在铁路桥梁跨越处河道上下游划定的禁采范围大于前款规定的禁采范围的，按照划定的禁采范围执行。</w:t>
                  </w:r>
                </w:p>
              </w:tc>
              <w:tc>
                <w:tcPr>
                  <w:tcW w:w="1096" w:type="pct"/>
                  <w:vAlign w:val="center"/>
                </w:tcPr>
                <w:p>
                  <w:pPr>
                    <w:jc w:val="left"/>
                    <w:rPr>
                      <w:color w:val="auto"/>
                    </w:rPr>
                  </w:pPr>
                  <w:r>
                    <w:rPr>
                      <w:color w:val="auto"/>
                    </w:rPr>
                    <w:t>本项目为防洪治理工程，不进行采砂，淘金</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continue"/>
                  <w:vAlign w:val="center"/>
                </w:tcPr>
                <w:p>
                  <w:pPr>
                    <w:jc w:val="center"/>
                    <w:rPr>
                      <w:color w:val="auto"/>
                    </w:rPr>
                  </w:pPr>
                </w:p>
              </w:tc>
              <w:tc>
                <w:tcPr>
                  <w:tcW w:w="3082" w:type="pct"/>
                  <w:vAlign w:val="center"/>
                </w:tcPr>
                <w:p>
                  <w:pPr>
                    <w:jc w:val="left"/>
                    <w:rPr>
                      <w:color w:val="auto"/>
                    </w:rPr>
                  </w:pPr>
                  <w:r>
                    <w:rPr>
                      <w:color w:val="auto"/>
                    </w:rPr>
                    <w:t>第三十九条 在铁路桥梁跨越处河道上下游各</w:t>
                  </w:r>
                  <w:r>
                    <w:rPr>
                      <w:rFonts w:eastAsia="TimesNewRomanPSMT"/>
                      <w:color w:val="auto"/>
                    </w:rPr>
                    <w:t>500</w:t>
                  </w:r>
                  <w:r>
                    <w:rPr>
                      <w:color w:val="auto"/>
                    </w:rPr>
                    <w:t>米范围内进行疏浚作业，应当进行安全技术评价，有关河道、航道管理部门应当征求铁路运输企业的意见，确认安全或者采取安全技术措施后，方可批准进行疏浚作业。但是，依法进行河道、航道日常养护、疏浚作业的除外。</w:t>
                  </w:r>
                </w:p>
              </w:tc>
              <w:tc>
                <w:tcPr>
                  <w:tcW w:w="1096" w:type="pct"/>
                  <w:vAlign w:val="center"/>
                </w:tcPr>
                <w:p>
                  <w:pPr>
                    <w:jc w:val="left"/>
                    <w:rPr>
                      <w:color w:val="auto"/>
                    </w:rPr>
                  </w:pPr>
                  <w:r>
                    <w:rPr>
                      <w:color w:val="auto"/>
                    </w:rPr>
                    <w:t>本项目为防洪治理工程，不涉及铁路桥梁跨越处</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restart"/>
                  <w:vAlign w:val="center"/>
                </w:tcPr>
                <w:p>
                  <w:pPr>
                    <w:jc w:val="center"/>
                    <w:rPr>
                      <w:color w:val="auto"/>
                    </w:rPr>
                  </w:pPr>
                  <w:r>
                    <w:rPr>
                      <w:color w:val="auto"/>
                    </w:rPr>
                    <w:t>公路安全保护</w:t>
                  </w:r>
                </w:p>
                <w:p>
                  <w:pPr>
                    <w:jc w:val="center"/>
                    <w:rPr>
                      <w:color w:val="auto"/>
                    </w:rPr>
                  </w:pPr>
                  <w:r>
                    <w:rPr>
                      <w:color w:val="auto"/>
                    </w:rPr>
                    <w:t>条例》（国令第593号）</w:t>
                  </w:r>
                </w:p>
              </w:tc>
              <w:tc>
                <w:tcPr>
                  <w:tcW w:w="3082" w:type="pct"/>
                  <w:vAlign w:val="center"/>
                </w:tcPr>
                <w:p>
                  <w:pPr>
                    <w:jc w:val="left"/>
                    <w:rPr>
                      <w:color w:val="auto"/>
                    </w:rPr>
                  </w:pPr>
                  <w:r>
                    <w:rPr>
                      <w:color w:val="auto"/>
                    </w:rPr>
                    <w:t>第十九条 禁止擅自在中型以上公路桥梁跨越的河道上下游各</w:t>
                  </w:r>
                  <w:r>
                    <w:rPr>
                      <w:rFonts w:eastAsia="TimesNewRomanPSMT"/>
                      <w:color w:val="auto"/>
                    </w:rPr>
                    <w:t>1000</w:t>
                  </w:r>
                  <w:r>
                    <w:rPr>
                      <w:color w:val="auto"/>
                    </w:rPr>
                    <w:t>米范围内抽取地下水、架设浮桥以及修建其他危及公路桥梁安全的设施。在前款规定的范围内，确需进行抽取地下水、架设浮桥等活动的，应当经水行政主管部门、流域管理机构等有关单位会同公路管理机构批准，并采取安全防护措施方可进行。</w:t>
                  </w:r>
                </w:p>
              </w:tc>
              <w:tc>
                <w:tcPr>
                  <w:tcW w:w="1096" w:type="pct"/>
                  <w:vAlign w:val="center"/>
                </w:tcPr>
                <w:p>
                  <w:pPr>
                    <w:jc w:val="left"/>
                    <w:rPr>
                      <w:color w:val="auto"/>
                    </w:rPr>
                  </w:pPr>
                  <w:r>
                    <w:rPr>
                      <w:color w:val="auto"/>
                    </w:rPr>
                    <w:t>本项目不涉及抽取地下水</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continue"/>
                  <w:vAlign w:val="center"/>
                </w:tcPr>
                <w:p>
                  <w:pPr>
                    <w:jc w:val="left"/>
                    <w:rPr>
                      <w:color w:val="auto"/>
                    </w:rPr>
                  </w:pPr>
                </w:p>
              </w:tc>
              <w:tc>
                <w:tcPr>
                  <w:tcW w:w="3082" w:type="pct"/>
                  <w:vAlign w:val="center"/>
                </w:tcPr>
                <w:p>
                  <w:pPr>
                    <w:jc w:val="left"/>
                    <w:rPr>
                      <w:color w:val="auto"/>
                    </w:rPr>
                  </w:pPr>
                  <w:r>
                    <w:rPr>
                      <w:color w:val="auto"/>
                    </w:rPr>
                    <w:t>第二十条 禁止在公路桥梁跨越的河道上下游的下列范围内采砂：</w:t>
                  </w:r>
                </w:p>
                <w:p>
                  <w:pPr>
                    <w:jc w:val="left"/>
                    <w:rPr>
                      <w:color w:val="auto"/>
                    </w:rPr>
                  </w:pPr>
                  <w:r>
                    <w:rPr>
                      <w:color w:val="auto"/>
                    </w:rPr>
                    <w:t>（一）特大型公路桥梁跨越的河道上游</w:t>
                  </w:r>
                  <w:r>
                    <w:rPr>
                      <w:rFonts w:eastAsia="TimesNewRomanPSMT"/>
                      <w:color w:val="auto"/>
                    </w:rPr>
                    <w:t>500</w:t>
                  </w:r>
                  <w:r>
                    <w:rPr>
                      <w:color w:val="auto"/>
                    </w:rPr>
                    <w:t>米，下游</w:t>
                  </w:r>
                  <w:r>
                    <w:rPr>
                      <w:rFonts w:eastAsia="TimesNewRomanPSMT"/>
                      <w:color w:val="auto"/>
                    </w:rPr>
                    <w:t>3000</w:t>
                  </w:r>
                  <w:r>
                    <w:rPr>
                      <w:color w:val="auto"/>
                    </w:rPr>
                    <w:t>米；</w:t>
                  </w:r>
                </w:p>
                <w:p>
                  <w:pPr>
                    <w:jc w:val="left"/>
                    <w:rPr>
                      <w:color w:val="auto"/>
                    </w:rPr>
                  </w:pPr>
                  <w:r>
                    <w:rPr>
                      <w:color w:val="auto"/>
                    </w:rPr>
                    <w:t>（二）大型公路桥梁跨越的河道上游</w:t>
                  </w:r>
                  <w:r>
                    <w:rPr>
                      <w:rFonts w:eastAsia="TimesNewRomanPSMT"/>
                      <w:color w:val="auto"/>
                    </w:rPr>
                    <w:t>500</w:t>
                  </w:r>
                  <w:r>
                    <w:rPr>
                      <w:color w:val="auto"/>
                    </w:rPr>
                    <w:t>米，下游</w:t>
                  </w:r>
                  <w:r>
                    <w:rPr>
                      <w:rFonts w:eastAsia="TimesNewRomanPSMT"/>
                      <w:color w:val="auto"/>
                    </w:rPr>
                    <w:t>2000</w:t>
                  </w:r>
                  <w:r>
                    <w:rPr>
                      <w:color w:val="auto"/>
                    </w:rPr>
                    <w:t>米；</w:t>
                  </w:r>
                </w:p>
                <w:p>
                  <w:pPr>
                    <w:jc w:val="left"/>
                    <w:rPr>
                      <w:color w:val="auto"/>
                    </w:rPr>
                  </w:pPr>
                  <w:r>
                    <w:rPr>
                      <w:color w:val="auto"/>
                    </w:rPr>
                    <w:t>（三）中小型公路桥梁跨越的河道上游</w:t>
                  </w:r>
                  <w:r>
                    <w:rPr>
                      <w:rFonts w:eastAsia="TimesNewRomanPSMT"/>
                      <w:color w:val="auto"/>
                    </w:rPr>
                    <w:t>500</w:t>
                  </w:r>
                  <w:r>
                    <w:rPr>
                      <w:color w:val="auto"/>
                    </w:rPr>
                    <w:t>米，下游</w:t>
                  </w:r>
                  <w:r>
                    <w:rPr>
                      <w:rFonts w:eastAsia="TimesNewRomanPSMT"/>
                      <w:color w:val="auto"/>
                    </w:rPr>
                    <w:t>1000</w:t>
                  </w:r>
                  <w:r>
                    <w:rPr>
                      <w:color w:val="auto"/>
                    </w:rPr>
                    <w:t>米。</w:t>
                  </w:r>
                </w:p>
              </w:tc>
              <w:tc>
                <w:tcPr>
                  <w:tcW w:w="1096" w:type="pct"/>
                  <w:vAlign w:val="center"/>
                </w:tcPr>
                <w:p>
                  <w:pPr>
                    <w:jc w:val="left"/>
                    <w:rPr>
                      <w:color w:val="auto"/>
                    </w:rPr>
                  </w:pPr>
                  <w:r>
                    <w:rPr>
                      <w:color w:val="auto"/>
                    </w:rPr>
                    <w:t>本项目不涉及采砂</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78" w:type="pct"/>
                  <w:vMerge w:val="continue"/>
                  <w:vAlign w:val="center"/>
                </w:tcPr>
                <w:p>
                  <w:pPr>
                    <w:jc w:val="left"/>
                    <w:rPr>
                      <w:color w:val="auto"/>
                    </w:rPr>
                  </w:pPr>
                </w:p>
              </w:tc>
              <w:tc>
                <w:tcPr>
                  <w:tcW w:w="3082" w:type="pct"/>
                  <w:vAlign w:val="center"/>
                </w:tcPr>
                <w:p>
                  <w:pPr>
                    <w:jc w:val="left"/>
                    <w:rPr>
                      <w:color w:val="auto"/>
                    </w:rPr>
                  </w:pPr>
                  <w:r>
                    <w:rPr>
                      <w:color w:val="auto"/>
                    </w:rPr>
                    <w:t>第二十一条 在公路桥梁跨越的河道上下游各</w:t>
                  </w:r>
                  <w:r>
                    <w:rPr>
                      <w:rFonts w:eastAsia="TimesNewRomanPSMT"/>
                      <w:color w:val="auto"/>
                    </w:rPr>
                    <w:t>500</w:t>
                  </w:r>
                  <w:r>
                    <w:rPr>
                      <w:color w:val="auto"/>
                    </w:rPr>
                    <w:t>米范围内依法进行疏浚作业的，应当符合公路桥梁安全要求，经公路管理机构确认安全方可作业。</w:t>
                  </w:r>
                </w:p>
              </w:tc>
              <w:tc>
                <w:tcPr>
                  <w:tcW w:w="1096" w:type="pct"/>
                  <w:vAlign w:val="center"/>
                </w:tcPr>
                <w:p>
                  <w:pPr>
                    <w:jc w:val="left"/>
                    <w:rPr>
                      <w:color w:val="auto"/>
                    </w:rPr>
                  </w:pPr>
                  <w:r>
                    <w:rPr>
                      <w:color w:val="auto"/>
                    </w:rPr>
                    <w:t>本项目为防洪治理工程，河道疏浚</w:t>
                  </w:r>
                  <w:r>
                    <w:rPr>
                      <w:color w:val="auto"/>
                      <w:szCs w:val="21"/>
                    </w:rPr>
                    <w:t>实施范围内的河道存在中型公路桥梁，项目施工方案与公路管理机构沟通中，本报告要求本项目施工方案在公路管理机构确认安全后才能施工。</w:t>
                  </w:r>
                </w:p>
              </w:tc>
              <w:tc>
                <w:tcPr>
                  <w:tcW w:w="342" w:type="pct"/>
                  <w:vAlign w:val="center"/>
                </w:tcPr>
                <w:p>
                  <w:pPr>
                    <w:pStyle w:val="83"/>
                    <w:widowControl/>
                    <w:spacing w:line="240" w:lineRule="auto"/>
                    <w:ind w:firstLine="0" w:firstLineChars="0"/>
                    <w:jc w:val="center"/>
                    <w:rPr>
                      <w:rFonts w:eastAsia="宋体"/>
                      <w:color w:val="auto"/>
                      <w:sz w:val="21"/>
                    </w:rPr>
                  </w:pPr>
                  <w:r>
                    <w:rPr>
                      <w:rFonts w:eastAsia="宋体"/>
                      <w:color w:val="auto"/>
                      <w:sz w:val="21"/>
                    </w:rPr>
                    <w:t>符合</w:t>
                  </w:r>
                </w:p>
              </w:tc>
            </w:tr>
          </w:tbl>
          <w:p>
            <w:pPr>
              <w:pStyle w:val="63"/>
              <w:adjustRightInd w:val="0"/>
              <w:snapToGrid w:val="0"/>
              <w:spacing w:line="360" w:lineRule="auto"/>
              <w:jc w:val="both"/>
              <w:rPr>
                <w:b/>
                <w:color w:val="auto"/>
                <w:sz w:val="24"/>
              </w:rPr>
            </w:pPr>
            <w:r>
              <w:rPr>
                <w:rFonts w:hint="eastAsia"/>
                <w:b/>
                <w:color w:val="auto"/>
                <w:sz w:val="24"/>
                <w:lang w:val="en-US" w:eastAsia="zh-CN"/>
              </w:rPr>
              <w:t>六</w:t>
            </w:r>
            <w:r>
              <w:rPr>
                <w:b/>
                <w:color w:val="auto"/>
                <w:sz w:val="24"/>
              </w:rPr>
              <w:t>、项目与《中华人民共和国长江保护法》符合性分析</w:t>
            </w:r>
          </w:p>
          <w:p>
            <w:pPr>
              <w:adjustRightInd w:val="0"/>
              <w:snapToGrid w:val="0"/>
              <w:spacing w:line="360" w:lineRule="auto"/>
              <w:ind w:firstLine="480" w:firstLineChars="200"/>
              <w:rPr>
                <w:bCs/>
                <w:color w:val="auto"/>
                <w:sz w:val="24"/>
              </w:rPr>
            </w:pPr>
            <w:r>
              <w:rPr>
                <w:bCs/>
                <w:color w:val="auto"/>
                <w:sz w:val="24"/>
              </w:rPr>
              <w:t>本项目与《中华人民共和国长江保护法》符合性分析如下：</w:t>
            </w:r>
          </w:p>
          <w:p>
            <w:pPr>
              <w:pStyle w:val="63"/>
              <w:keepNext/>
              <w:numPr>
                <w:ilvl w:val="0"/>
                <w:numId w:val="5"/>
              </w:numPr>
              <w:rPr>
                <w:b/>
                <w:color w:val="auto"/>
                <w:szCs w:val="21"/>
              </w:rPr>
            </w:pPr>
            <w:r>
              <w:rPr>
                <w:b/>
                <w:color w:val="auto"/>
                <w:szCs w:val="21"/>
              </w:rPr>
              <w:t>本项目与《中华人民共和国长江保护法》符合性分析</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44"/>
              <w:gridCol w:w="3418"/>
              <w:gridCol w:w="7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8" w:type="dxa"/>
                  <w:tcBorders>
                    <w:top w:val="single" w:color="auto" w:sz="12" w:space="0"/>
                  </w:tcBorders>
                  <w:vAlign w:val="center"/>
                </w:tcPr>
                <w:p>
                  <w:pPr>
                    <w:jc w:val="center"/>
                    <w:rPr>
                      <w:b/>
                      <w:bCs/>
                      <w:color w:val="auto"/>
                      <w:kern w:val="0"/>
                      <w:szCs w:val="21"/>
                    </w:rPr>
                  </w:pPr>
                  <w:r>
                    <w:rPr>
                      <w:b/>
                      <w:bCs/>
                      <w:color w:val="auto"/>
                      <w:kern w:val="0"/>
                      <w:szCs w:val="21"/>
                    </w:rPr>
                    <w:t>具体内容</w:t>
                  </w:r>
                </w:p>
              </w:tc>
              <w:tc>
                <w:tcPr>
                  <w:tcW w:w="3511" w:type="dxa"/>
                  <w:tcBorders>
                    <w:top w:val="single" w:color="auto" w:sz="12" w:space="0"/>
                  </w:tcBorders>
                  <w:vAlign w:val="center"/>
                </w:tcPr>
                <w:p>
                  <w:pPr>
                    <w:jc w:val="center"/>
                    <w:rPr>
                      <w:b/>
                      <w:bCs/>
                      <w:color w:val="auto"/>
                      <w:kern w:val="0"/>
                      <w:szCs w:val="21"/>
                    </w:rPr>
                  </w:pPr>
                  <w:r>
                    <w:rPr>
                      <w:b/>
                      <w:bCs/>
                      <w:color w:val="auto"/>
                      <w:kern w:val="0"/>
                      <w:szCs w:val="21"/>
                    </w:rPr>
                    <w:t>本项目对应情况</w:t>
                  </w:r>
                </w:p>
              </w:tc>
              <w:tc>
                <w:tcPr>
                  <w:tcW w:w="776" w:type="dxa"/>
                  <w:tcBorders>
                    <w:top w:val="single" w:color="auto" w:sz="12" w:space="0"/>
                  </w:tcBorders>
                  <w:vAlign w:val="center"/>
                </w:tcPr>
                <w:p>
                  <w:pPr>
                    <w:jc w:val="center"/>
                    <w:rPr>
                      <w:b/>
                      <w:bCs/>
                      <w:color w:val="auto"/>
                      <w:kern w:val="0"/>
                      <w:szCs w:val="21"/>
                    </w:rPr>
                  </w:pPr>
                  <w:r>
                    <w:rPr>
                      <w:b/>
                      <w:bCs/>
                      <w:color w:val="auto"/>
                      <w:kern w:val="0"/>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8" w:type="dxa"/>
                </w:tcPr>
                <w:p>
                  <w:pPr>
                    <w:jc w:val="left"/>
                    <w:rPr>
                      <w:color w:val="auto"/>
                    </w:rPr>
                  </w:pPr>
                  <w:r>
                    <w:rPr>
                      <w:color w:val="auto"/>
                    </w:rPr>
                    <w:t>第二十一条 国务院水行政主管部门统筹长江流域水资源合理配置、统一调度和高效利用，组织实施取用水总量控制和消耗强度控制管理制度。</w:t>
                  </w:r>
                </w:p>
                <w:p>
                  <w:pPr>
                    <w:jc w:val="left"/>
                    <w:rPr>
                      <w:color w:val="auto"/>
                    </w:rPr>
                  </w:pPr>
                  <w:r>
                    <w:rPr>
                      <w:color w:val="auto"/>
                    </w:rPr>
                    <w:t>国务院生态环境主管部门根据水环境质量改善目标和水污染防治要求，确定长江流域各省级行政区域重点污染物排放总量控制指标。长江流域水质超标的水功能区，应当实施更严格的污染物排放总量削减要求。企业事业单位应当按照要求，采取污染物排放总量控制措施。国务院自然资源主管部门负责统筹长江流域新增建设用地总量控制和计划安排。</w:t>
                  </w:r>
                </w:p>
              </w:tc>
              <w:tc>
                <w:tcPr>
                  <w:tcW w:w="3511" w:type="dxa"/>
                  <w:vAlign w:val="center"/>
                </w:tcPr>
                <w:p>
                  <w:pPr>
                    <w:jc w:val="left"/>
                    <w:rPr>
                      <w:color w:val="auto"/>
                    </w:rPr>
                  </w:pPr>
                  <w:r>
                    <w:rPr>
                      <w:color w:val="auto"/>
                    </w:rPr>
                    <w:t>本项目实施范围内的河流水质未超标，工程实施期间废水均合理处理，不外排。</w:t>
                  </w:r>
                </w:p>
              </w:tc>
              <w:tc>
                <w:tcPr>
                  <w:tcW w:w="776"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8" w:type="dxa"/>
                  <w:vAlign w:val="center"/>
                </w:tcPr>
                <w:p>
                  <w:pPr>
                    <w:jc w:val="left"/>
                    <w:rPr>
                      <w:color w:val="auto"/>
                    </w:rPr>
                  </w:pPr>
                  <w:r>
                    <w:rPr>
                      <w:color w:val="auto"/>
                    </w:rPr>
                    <w:t>第二十二条 长江流域产业结构和布局应当与长江流域生态系统和资源环境承载能力相适应。禁止在长江流域重点生态功能区布局对生态系统有严重影响的产业。禁止重污染企业和项目向长江中上游转移。</w:t>
                  </w:r>
                </w:p>
              </w:tc>
              <w:tc>
                <w:tcPr>
                  <w:tcW w:w="3511" w:type="dxa"/>
                  <w:vAlign w:val="center"/>
                </w:tcPr>
                <w:p>
                  <w:pPr>
                    <w:jc w:val="left"/>
                    <w:rPr>
                      <w:color w:val="auto"/>
                    </w:rPr>
                  </w:pPr>
                  <w:r>
                    <w:rPr>
                      <w:color w:val="auto"/>
                    </w:rPr>
                    <w:t>本项目为防洪治理工程，施工期沿清淤位置和河道设置围堰，尽量减小对河流水体扰动，无河道断流情况出现，基坑排水经沉淀会沉淀后由于施工场地洒水降尘，对生态系统无严重影响。</w:t>
                  </w:r>
                </w:p>
              </w:tc>
              <w:tc>
                <w:tcPr>
                  <w:tcW w:w="776"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8" w:type="dxa"/>
                </w:tcPr>
                <w:p>
                  <w:pPr>
                    <w:jc w:val="left"/>
                    <w:rPr>
                      <w:color w:val="auto"/>
                    </w:rPr>
                  </w:pPr>
                  <w:r>
                    <w:rPr>
                      <w:color w:val="auto"/>
                    </w:rPr>
                    <w:t>第二十三条 国家加强对长江流域水能资源开发利用的管理。因国家发展战略和国计民生需要，在长江流域新建大中型水电工程，应当经科学论证，并报国务院或者国务院授权的部门批准。</w:t>
                  </w:r>
                </w:p>
                <w:p>
                  <w:pPr>
                    <w:jc w:val="left"/>
                    <w:rPr>
                      <w:color w:val="auto"/>
                    </w:rPr>
                  </w:pPr>
                  <w:r>
                    <w:rPr>
                      <w:color w:val="auto"/>
                    </w:rPr>
                    <w:t>对长江流域已建小水电工程，不符合生态保护要求的，县级以上地方人民政府应当组织分类整改或者采取措施逐步退出。</w:t>
                  </w:r>
                </w:p>
              </w:tc>
              <w:tc>
                <w:tcPr>
                  <w:tcW w:w="3511" w:type="dxa"/>
                  <w:vAlign w:val="center"/>
                </w:tcPr>
                <w:p>
                  <w:pPr>
                    <w:jc w:val="left"/>
                    <w:rPr>
                      <w:color w:val="auto"/>
                    </w:rPr>
                  </w:pPr>
                  <w:r>
                    <w:rPr>
                      <w:color w:val="auto"/>
                    </w:rPr>
                    <w:t>本项目为防洪治理工程，不涉及水电工程。</w:t>
                  </w:r>
                </w:p>
              </w:tc>
              <w:tc>
                <w:tcPr>
                  <w:tcW w:w="776"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8" w:type="dxa"/>
                  <w:tcBorders>
                    <w:bottom w:val="single" w:color="auto" w:sz="4" w:space="0"/>
                  </w:tcBorders>
                </w:tcPr>
                <w:p>
                  <w:pPr>
                    <w:jc w:val="left"/>
                    <w:rPr>
                      <w:color w:val="auto"/>
                    </w:rPr>
                  </w:pPr>
                  <w:r>
                    <w:rPr>
                      <w:color w:val="auto"/>
                    </w:rPr>
                    <w:t>第二十六条 国家对长江流域河湖岸线实施特殊管制。国家长江流域协调机制统筹协调国务院自然资源、水行政、生态环境、住房和城乡建设、农业农村、交通运输、林业和草原等部门和长江流域省级人民政府划定河湖岸线保护范围，制定河湖岸线保护规划，严格控制岸线开发建设，促进岸线合理高效利用。</w:t>
                  </w:r>
                </w:p>
                <w:p>
                  <w:pPr>
                    <w:jc w:val="left"/>
                    <w:rPr>
                      <w:color w:val="auto"/>
                    </w:rPr>
                  </w:pPr>
                  <w:r>
                    <w:rPr>
                      <w:color w:val="auto"/>
                    </w:rPr>
                    <w:t>禁止在长江干支流岸线一公里范围内新建、扩建化工园区和化工项目。</w:t>
                  </w:r>
                </w:p>
                <w:p>
                  <w:pPr>
                    <w:jc w:val="left"/>
                    <w:rPr>
                      <w:color w:val="auto"/>
                    </w:rPr>
                  </w:pPr>
                  <w:r>
                    <w:rPr>
                      <w:color w:val="auto"/>
                    </w:rPr>
                    <w:t>禁止在长江干流岸线三公里范围内和重要支流岸线一公里范围内新建、改建、扩建尾矿库；但是以提升安全、生态环境保护水平为目的的改建除外。</w:t>
                  </w:r>
                </w:p>
              </w:tc>
              <w:tc>
                <w:tcPr>
                  <w:tcW w:w="3511" w:type="dxa"/>
                  <w:tcBorders>
                    <w:bottom w:val="single" w:color="auto" w:sz="4" w:space="0"/>
                  </w:tcBorders>
                  <w:vAlign w:val="center"/>
                </w:tcPr>
                <w:p>
                  <w:pPr>
                    <w:jc w:val="left"/>
                    <w:rPr>
                      <w:color w:val="auto"/>
                    </w:rPr>
                  </w:pPr>
                  <w:r>
                    <w:rPr>
                      <w:color w:val="auto"/>
                    </w:rPr>
                    <w:t>本项目为防洪治理工程，不涉及新建、扩建化工园区和化工项目，不涉及新建、改建、扩建尾矿库。</w:t>
                  </w:r>
                </w:p>
              </w:tc>
              <w:tc>
                <w:tcPr>
                  <w:tcW w:w="776" w:type="dxa"/>
                  <w:tcBorders>
                    <w:bottom w:val="single" w:color="auto" w:sz="4" w:space="0"/>
                  </w:tcBorders>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8" w:type="dxa"/>
                </w:tcPr>
                <w:p>
                  <w:pPr>
                    <w:jc w:val="left"/>
                    <w:rPr>
                      <w:color w:val="auto"/>
                    </w:rPr>
                  </w:pPr>
                  <w:r>
                    <w:rPr>
                      <w:color w:val="auto"/>
                    </w:rPr>
                    <w:t>第二十七条 国务院交通运输主管部门会同国务院自然资源、水行政、生态环境、农业农村、林业和草原主管部门在长江流域水生生物重要栖息地科学划定禁止航行区域和限制航行区域。</w:t>
                  </w:r>
                </w:p>
                <w:p>
                  <w:pPr>
                    <w:jc w:val="left"/>
                    <w:rPr>
                      <w:color w:val="auto"/>
                    </w:rPr>
                  </w:pPr>
                  <w:r>
                    <w:rPr>
                      <w:color w:val="auto"/>
                    </w:rPr>
                    <w:t>禁止船舶在划定的禁止航行区域内航行。因国家发展战略和国计民生需要，在水生生物重要栖息地禁止航行区域内航行的，应当由国务院交通运输主管部门商国务院农业农村主管部门同意，并应当采取必要措施，减少对重要水生生物的干扰。</w:t>
                  </w:r>
                </w:p>
                <w:p>
                  <w:pPr>
                    <w:jc w:val="left"/>
                    <w:rPr>
                      <w:color w:val="auto"/>
                    </w:rPr>
                  </w:pPr>
                  <w:r>
                    <w:rPr>
                      <w:color w:val="auto"/>
                    </w:rPr>
                    <w:t>严格限制在长江流域生态保护红线、自然保护地、水生生物重要栖息地水域实施航道整治工程；确需整治的，应当经科学论证，并依法办理相关手续。</w:t>
                  </w:r>
                </w:p>
              </w:tc>
              <w:tc>
                <w:tcPr>
                  <w:tcW w:w="3511" w:type="dxa"/>
                  <w:vAlign w:val="center"/>
                </w:tcPr>
                <w:p>
                  <w:pPr>
                    <w:jc w:val="left"/>
                    <w:rPr>
                      <w:color w:val="auto"/>
                    </w:rPr>
                  </w:pPr>
                  <w:r>
                    <w:rPr>
                      <w:color w:val="auto"/>
                    </w:rPr>
                    <w:t>本项目为防洪治理工程，项目实施范围不涉及航行区域。项目建设区域不涉及水产种质资源保护区等重要水生生物分布区域。</w:t>
                  </w:r>
                </w:p>
              </w:tc>
              <w:tc>
                <w:tcPr>
                  <w:tcW w:w="776" w:type="dxa"/>
                  <w:vAlign w:val="center"/>
                </w:tcPr>
                <w:p>
                  <w:pPr>
                    <w:jc w:val="center"/>
                    <w:rPr>
                      <w:color w:val="auto"/>
                      <w:kern w:val="0"/>
                      <w:szCs w:val="21"/>
                    </w:rPr>
                  </w:pPr>
                  <w:r>
                    <w:rPr>
                      <w:color w:val="auto"/>
                      <w:kern w:val="0"/>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8" w:type="dxa"/>
                  <w:tcBorders>
                    <w:bottom w:val="single" w:color="auto" w:sz="12" w:space="0"/>
                  </w:tcBorders>
                </w:tcPr>
                <w:p>
                  <w:pPr>
                    <w:jc w:val="left"/>
                    <w:rPr>
                      <w:color w:val="auto"/>
                    </w:rPr>
                  </w:pPr>
                  <w:r>
                    <w:rPr>
                      <w:color w:val="auto"/>
                    </w:rPr>
                    <w:t>第二十八条 国家建立长江流域河道采砂规划和许可制度。长江流域河道采砂应当依法取得国务院水行政主管部门有关流域管理机构或者县级以上地方人民政府水行政主管部门的许可。</w:t>
                  </w:r>
                </w:p>
                <w:p>
                  <w:pPr>
                    <w:jc w:val="left"/>
                    <w:rPr>
                      <w:color w:val="auto"/>
                    </w:rPr>
                  </w:pPr>
                  <w:r>
                    <w:rPr>
                      <w:color w:val="auto"/>
                    </w:rPr>
                    <w:t>国务院水行政主管部门有关流域管理机构和长江流域县级以上地方人民政府依法划定禁止采砂区和禁止采砂期，严格控制采砂区域、采砂总量和采砂区域内的采砂船舶数量。禁止在长江流域禁止采砂区和禁止采砂期从事采砂活动。</w:t>
                  </w:r>
                </w:p>
                <w:p>
                  <w:pPr>
                    <w:jc w:val="left"/>
                    <w:rPr>
                      <w:color w:val="auto"/>
                    </w:rPr>
                  </w:pPr>
                  <w:r>
                    <w:rPr>
                      <w:color w:val="auto"/>
                    </w:rPr>
                    <w:t>国务院水行政主管部门会同国务院有关部门组织长江流域有关地方人民政府及其有关部门开展长江流域河道非法采砂联合执法工作。</w:t>
                  </w:r>
                </w:p>
              </w:tc>
              <w:tc>
                <w:tcPr>
                  <w:tcW w:w="3511" w:type="dxa"/>
                  <w:tcBorders>
                    <w:bottom w:val="single" w:color="auto" w:sz="12" w:space="0"/>
                  </w:tcBorders>
                  <w:vAlign w:val="center"/>
                </w:tcPr>
                <w:p>
                  <w:pPr>
                    <w:jc w:val="left"/>
                    <w:rPr>
                      <w:color w:val="auto"/>
                    </w:rPr>
                  </w:pPr>
                  <w:r>
                    <w:rPr>
                      <w:color w:val="auto"/>
                    </w:rPr>
                    <w:t>本项目为防洪治理工程，不涉及采砂。</w:t>
                  </w:r>
                </w:p>
              </w:tc>
              <w:tc>
                <w:tcPr>
                  <w:tcW w:w="776" w:type="dxa"/>
                  <w:tcBorders>
                    <w:bottom w:val="single" w:color="auto" w:sz="12" w:space="0"/>
                  </w:tcBorders>
                  <w:vAlign w:val="center"/>
                </w:tcPr>
                <w:p>
                  <w:pPr>
                    <w:jc w:val="center"/>
                    <w:rPr>
                      <w:color w:val="auto"/>
                      <w:kern w:val="0"/>
                      <w:szCs w:val="21"/>
                    </w:rPr>
                  </w:pPr>
                  <w:r>
                    <w:rPr>
                      <w:color w:val="auto"/>
                      <w:kern w:val="0"/>
                      <w:szCs w:val="21"/>
                    </w:rPr>
                    <w:t>符合</w:t>
                  </w:r>
                </w:p>
              </w:tc>
            </w:tr>
          </w:tbl>
          <w:p>
            <w:pPr>
              <w:adjustRightInd w:val="0"/>
              <w:snapToGrid w:val="0"/>
              <w:spacing w:line="360" w:lineRule="auto"/>
              <w:ind w:firstLine="480" w:firstLineChars="200"/>
              <w:rPr>
                <w:bCs/>
                <w:color w:val="auto"/>
                <w:sz w:val="24"/>
              </w:rPr>
            </w:pPr>
            <w:r>
              <w:rPr>
                <w:bCs/>
                <w:color w:val="auto"/>
                <w:sz w:val="24"/>
              </w:rPr>
              <w:t>综上，本项目建设符合《中华人民共和国长江保护法》的相关要求。</w:t>
            </w:r>
          </w:p>
          <w:p>
            <w:pPr>
              <w:pStyle w:val="63"/>
              <w:adjustRightInd w:val="0"/>
              <w:snapToGrid w:val="0"/>
              <w:spacing w:line="360" w:lineRule="auto"/>
              <w:jc w:val="both"/>
              <w:rPr>
                <w:b/>
                <w:color w:val="auto"/>
                <w:sz w:val="24"/>
              </w:rPr>
            </w:pPr>
            <w:r>
              <w:rPr>
                <w:rFonts w:hint="eastAsia"/>
                <w:b/>
                <w:color w:val="auto"/>
                <w:sz w:val="24"/>
                <w:lang w:val="en-US" w:eastAsia="zh-CN"/>
              </w:rPr>
              <w:t>七</w:t>
            </w:r>
            <w:r>
              <w:rPr>
                <w:b/>
                <w:color w:val="auto"/>
                <w:sz w:val="24"/>
              </w:rPr>
              <w:t>、与《四川省、重庆市长江经济带发展负面清单实施细则（试行，2022年版）》的符合性分析</w:t>
            </w:r>
          </w:p>
          <w:p>
            <w:pPr>
              <w:pStyle w:val="63"/>
              <w:keepNext/>
              <w:numPr>
                <w:ilvl w:val="0"/>
                <w:numId w:val="5"/>
              </w:numPr>
              <w:rPr>
                <w:b/>
                <w:color w:val="auto"/>
                <w:szCs w:val="21"/>
              </w:rPr>
            </w:pPr>
            <w:r>
              <w:rPr>
                <w:b/>
                <w:color w:val="auto"/>
                <w:szCs w:val="21"/>
              </w:rPr>
              <w:t>本项目与《</w:t>
            </w:r>
            <w:r>
              <w:rPr>
                <w:b/>
                <w:color w:val="auto"/>
              </w:rPr>
              <w:t>四川省、重庆市长江经济带发展负面清单实施细则（试行，2022年版）</w:t>
            </w:r>
            <w:r>
              <w:rPr>
                <w:b/>
                <w:color w:val="auto"/>
                <w:szCs w:val="21"/>
              </w:rPr>
              <w:t>》符合性分析</w:t>
            </w:r>
          </w:p>
          <w:tbl>
            <w:tblPr>
              <w:tblStyle w:val="3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35"/>
              <w:gridCol w:w="3393"/>
              <w:gridCol w:w="9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593" w:type="pct"/>
                  <w:tcBorders>
                    <w:top w:val="single" w:color="auto" w:sz="12" w:space="0"/>
                  </w:tcBorders>
                  <w:vAlign w:val="center"/>
                </w:tcPr>
                <w:p>
                  <w:pPr>
                    <w:jc w:val="center"/>
                    <w:rPr>
                      <w:b/>
                      <w:bCs/>
                      <w:color w:val="auto"/>
                      <w:kern w:val="0"/>
                      <w:szCs w:val="21"/>
                    </w:rPr>
                  </w:pPr>
                  <w:r>
                    <w:rPr>
                      <w:b/>
                      <w:bCs/>
                      <w:color w:val="auto"/>
                      <w:kern w:val="0"/>
                      <w:szCs w:val="21"/>
                    </w:rPr>
                    <w:t>具体内容</w:t>
                  </w:r>
                </w:p>
              </w:tc>
              <w:tc>
                <w:tcPr>
                  <w:tcW w:w="1858" w:type="pct"/>
                  <w:tcBorders>
                    <w:top w:val="single" w:color="auto" w:sz="12" w:space="0"/>
                  </w:tcBorders>
                  <w:vAlign w:val="center"/>
                </w:tcPr>
                <w:p>
                  <w:pPr>
                    <w:jc w:val="center"/>
                    <w:rPr>
                      <w:b/>
                      <w:bCs/>
                      <w:color w:val="auto"/>
                      <w:kern w:val="0"/>
                      <w:szCs w:val="21"/>
                    </w:rPr>
                  </w:pPr>
                  <w:r>
                    <w:rPr>
                      <w:b/>
                      <w:bCs/>
                      <w:color w:val="auto"/>
                      <w:kern w:val="0"/>
                      <w:szCs w:val="21"/>
                    </w:rPr>
                    <w:t>本项目对应情况</w:t>
                  </w:r>
                </w:p>
              </w:tc>
              <w:tc>
                <w:tcPr>
                  <w:tcW w:w="547" w:type="pct"/>
                  <w:tcBorders>
                    <w:top w:val="single" w:color="auto" w:sz="12" w:space="0"/>
                  </w:tcBorders>
                  <w:vAlign w:val="center"/>
                </w:tcPr>
                <w:p>
                  <w:pPr>
                    <w:jc w:val="center"/>
                    <w:rPr>
                      <w:b/>
                      <w:bCs/>
                      <w:color w:val="auto"/>
                      <w:kern w:val="0"/>
                      <w:szCs w:val="21"/>
                    </w:rPr>
                  </w:pPr>
                  <w:r>
                    <w:rPr>
                      <w:b/>
                      <w:bCs/>
                      <w:color w:val="auto"/>
                      <w:kern w:val="0"/>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第五条 禁止新建、改建和扩建不符合《全国内河航道与港口布局规划》等全国港口规划，以及《四川省内河水运发展规划》 《泸州—宜宾—乐山港口群布局规划》《重庆港总体规划（2035 年）》等省级港口布局规划及市级港口总体规划的码头项目。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本项目为防洪治理工程，不涉及码头项目。</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第六条 禁止新建、改建和扩建不符合《长江干线过江通道布局规划（2020—2035 年）》的过长江通道项目（含桥梁、隧道），国家发展改革委同意过长江通道线位调整的除外。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本项目为防洪治理工程，不涉及过长江通道项目（含桥梁、隧道）。</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第七条 禁止在自然保护区核心区、缓冲区的岸线和河段范围内投资建设旅游和生产经营项目。自然保护区的内部未分区的，依照本实施细则核心区和缓冲区的规定管控。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本项目为防洪治理工程，本项目部分建设段</w:t>
                  </w:r>
                  <w:r>
                    <w:rPr>
                      <w:rFonts w:hint="eastAsia"/>
                      <w:color w:val="auto"/>
                      <w:szCs w:val="21"/>
                      <w:lang w:eastAsia="zh-CN"/>
                    </w:rPr>
                    <w:t>（</w:t>
                  </w:r>
                  <w:r>
                    <w:rPr>
                      <w:rFonts w:eastAsia="宋体"/>
                      <w:color w:val="auto"/>
                      <w:sz w:val="21"/>
                    </w:rPr>
                    <w:t>2段防洪堤及1处围堰，清淤疏浚位于保护区以外</w:t>
                  </w:r>
                  <w:r>
                    <w:rPr>
                      <w:rFonts w:hint="eastAsia"/>
                      <w:color w:val="auto"/>
                      <w:szCs w:val="21"/>
                      <w:lang w:eastAsia="zh-CN"/>
                    </w:rPr>
                    <w:t>）</w:t>
                  </w:r>
                  <w:r>
                    <w:rPr>
                      <w:color w:val="auto"/>
                      <w:szCs w:val="21"/>
                    </w:rPr>
                    <w:t>位于四川嘉陵江源市级湿地自然保护区实验区，不涉及核心区和缓冲区。</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第八条 禁止违反风景名胜区规划，在风景名胜区内设立各类开发区。禁止在风景名胜区核心景区的岸线和河段范围内建设宾馆、招待所、培训中心、疗养院以及与风景名胜资源保护无关的项目。</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本项目为防洪治理工程，不涉及风景名胜区。</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第九条 禁止在饮用水水源准保护区的岸线和河段范围内新建、扩建对</w:t>
                  </w:r>
                  <w:r>
                    <w:rPr>
                      <w:color w:val="auto"/>
                    </w:rPr>
                    <w:fldChar w:fldCharType="begin"/>
                  </w:r>
                  <w:r>
                    <w:rPr>
                      <w:color w:val="auto"/>
                    </w:rPr>
                    <w:instrText xml:space="preserve"> HYPERLINK "https://huanbao.bjx.com.cn/topics/shuitiwuran/" \t "https://huanbao.bjx.com.cn/news/20220610/_blank" </w:instrText>
                  </w:r>
                  <w:r>
                    <w:rPr>
                      <w:color w:val="auto"/>
                    </w:rPr>
                    <w:fldChar w:fldCharType="separate"/>
                  </w:r>
                  <w:r>
                    <w:rPr>
                      <w:color w:val="auto"/>
                      <w:sz w:val="21"/>
                      <w:szCs w:val="21"/>
                    </w:rPr>
                    <w:t>水体污染</w:t>
                  </w:r>
                  <w:r>
                    <w:rPr>
                      <w:color w:val="auto"/>
                      <w:sz w:val="21"/>
                      <w:szCs w:val="21"/>
                    </w:rPr>
                    <w:fldChar w:fldCharType="end"/>
                  </w:r>
                  <w:r>
                    <w:rPr>
                      <w:color w:val="auto"/>
                      <w:sz w:val="21"/>
                      <w:szCs w:val="21"/>
                    </w:rPr>
                    <w:t>严重的建设项目，禁止改建增加排污量的建设项目。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本项目为防洪治理工程，项目影响范围不涉及饮用水水源准保护区，且项目施工建设期间对水体污染影响较小。</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第十条 饮用水水源二级保护区的岸线和河段范围内，除应遵守准保护区规定外，禁止新建、改建、扩建排放污染物的投资建设项目；禁止从事采石（砂）、对水体有污染的水产养殖等活动。 </w:t>
                  </w:r>
                </w:p>
              </w:tc>
              <w:tc>
                <w:tcPr>
                  <w:tcW w:w="1858" w:type="pct"/>
                  <w:vAlign w:val="center"/>
                </w:tcPr>
                <w:p>
                  <w:pPr>
                    <w:adjustRightInd w:val="0"/>
                    <w:snapToGrid w:val="0"/>
                    <w:spacing w:line="276" w:lineRule="auto"/>
                    <w:jc w:val="center"/>
                    <w:rPr>
                      <w:color w:val="auto"/>
                      <w:kern w:val="0"/>
                      <w:szCs w:val="21"/>
                    </w:rPr>
                  </w:pPr>
                  <w:r>
                    <w:rPr>
                      <w:color w:val="auto"/>
                    </w:rPr>
                    <w:t>本项目为防洪治理工程，</w:t>
                  </w:r>
                  <w:r>
                    <w:rPr>
                      <w:color w:val="auto"/>
                      <w:szCs w:val="21"/>
                    </w:rPr>
                    <w:t>不涉及饮用水水源准保护区，不涉及采石（砂）、水产养殖。</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第十一条 饮用水水源一级保护区的岸线和河段范围内，除应遵守二级保护区规定外，禁止新建、改建、扩建与供（取）水设施和保护水源无关的项目，以及网箱养殖、畜禽养殖、旅游等可能污染饮用水水体的投资建设项目。 </w:t>
                  </w:r>
                </w:p>
              </w:tc>
              <w:tc>
                <w:tcPr>
                  <w:tcW w:w="1858" w:type="pct"/>
                  <w:vAlign w:val="center"/>
                </w:tcPr>
                <w:p>
                  <w:pPr>
                    <w:adjustRightInd w:val="0"/>
                    <w:snapToGrid w:val="0"/>
                    <w:spacing w:line="276" w:lineRule="auto"/>
                    <w:jc w:val="center"/>
                    <w:rPr>
                      <w:color w:val="auto"/>
                      <w:kern w:val="0"/>
                      <w:szCs w:val="21"/>
                    </w:rPr>
                  </w:pPr>
                  <w:r>
                    <w:rPr>
                      <w:color w:val="auto"/>
                    </w:rPr>
                    <w:t>本项目为防洪治理工程，</w:t>
                  </w:r>
                  <w:r>
                    <w:rPr>
                      <w:color w:val="auto"/>
                      <w:szCs w:val="21"/>
                    </w:rPr>
                    <w:t>不涉及饮用水水源准保护区，不涉及可能污染饮用水水体的投资建设项目。</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第十二条 禁止在水产种质资源保护区岸线和河段范围内新建围湖造田、围湖造地或挖沙采石等投资建设项目。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本项目为防洪治理工程，项目实施范围不涉及水产种质资源保护区以及围湖造田、围湖造地、挖沙采石等投资建设项目。</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第十三条 禁止在国家湿地公园的岸线和河段范围内开 （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本项目为防洪治理工程，项目实施影响范围不涉及国家湿地公园以及野生动物栖息地和迁徙通道、鱼类洄游通道。</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第十四条 禁止违法利用、占用长江流域河湖岸线。禁止在 《长江岸线保护和开发利用总体规划》划定的岸线保护区和岸线保留区内投资建设除事关公共安全及公众利益的防洪护岸、河道治理、供水、生态环境保护、航道整治、国家重要基础设施以外的项目。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本项目为防洪治理工程，属于事关公共安全及公众利益的防洪护岸、河道治理，严格按要求建设防洪堤防和河道治理。</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第十五条 禁止在《全国重要江河湖泊水功能区划》划定的河段及湖泊保护区、保留区内投资建设不利于水资源及自然生态保护的项目。 </w:t>
                  </w:r>
                </w:p>
              </w:tc>
              <w:tc>
                <w:tcPr>
                  <w:tcW w:w="1858" w:type="pct"/>
                  <w:vAlign w:val="center"/>
                </w:tcPr>
                <w:p>
                  <w:pPr>
                    <w:adjustRightInd w:val="0"/>
                    <w:snapToGrid w:val="0"/>
                    <w:spacing w:line="276" w:lineRule="auto"/>
                    <w:jc w:val="center"/>
                    <w:rPr>
                      <w:color w:val="auto"/>
                      <w:kern w:val="0"/>
                      <w:szCs w:val="21"/>
                    </w:rPr>
                  </w:pPr>
                  <w:r>
                    <w:rPr>
                      <w:color w:val="auto"/>
                      <w:szCs w:val="21"/>
                    </w:rPr>
                    <w:t>本项目实施范围不涉及《全国重要江河湖泊水功能区划》划定的河段及湖泊保护区、保留区。</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第十六条 禁止在长江流域江河、湖泊新设、改设或者扩大排污口，经有管辖权的生态环境主管部门或者长江流域生态环境监督管理机构同意的除外。</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本项目为防洪治理工程，无排污口。</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第十七条 禁止在长江、大渡河、岷江、赤水河、沱江、嘉陵江、乌江、汉江和 51 个（四川省 45 个、重庆市 6 个）水生生物保护区开展生产性捕捞。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本项目为防洪治理工程，不涉及捕捞。</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第十八条 禁止在长江干支流、重要湖泊岸线一公里范围内新建、扩建化工园区和化工项目。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本项目为防洪治理工程，不涉及新建、扩建化工园和化工项目。</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第十九条 禁止在长江干流岸线三公里范围内和重要支流岸线一公里范围内新建、改建、扩建尾矿库、冶炼渣库、磷石膏库，以提升安全、生态环境保护水平为目的的改建除外。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本项目为防洪治理工程，不涉及尾矿库、冶炼渣库和磷石膏库。</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第二十条 禁止在生态保护红线区域、永久基本农田集中区域和其他需要特别保护的区域内选址建设尾矿库、冶炼渣库、磷石膏库。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本项目为防洪治理工程，不涉及尾矿库、冶炼渣库和磷石膏库。</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第二十一条 禁止在合规园区外新建、扩建钢铁、石化、化工、焦化、建材、有色、制浆造纸等高污染项目。</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本项目为防洪治理工程，不涉及钢铁、石化、化工、焦化、建材、有色、制浆造纸等高污染项目。</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 w:val="21"/>
                      <w:szCs w:val="21"/>
                    </w:rPr>
                  </w:pPr>
                  <w:r>
                    <w:rPr>
                      <w:color w:val="auto"/>
                      <w:sz w:val="21"/>
                      <w:szCs w:val="21"/>
                    </w:rPr>
                    <w:t>第二十二条 禁止新建、扩建不符合国家石化、现代煤化工 等产业布局规划的项目。</w:t>
                  </w:r>
                </w:p>
                <w:p>
                  <w:pPr>
                    <w:pStyle w:val="12"/>
                    <w:spacing w:line="240" w:lineRule="auto"/>
                    <w:ind w:firstLine="420"/>
                    <w:rPr>
                      <w:color w:val="auto"/>
                      <w:sz w:val="21"/>
                      <w:szCs w:val="21"/>
                    </w:rPr>
                  </w:pPr>
                  <w:r>
                    <w:rPr>
                      <w:color w:val="auto"/>
                      <w:sz w:val="21"/>
                      <w:szCs w:val="21"/>
                    </w:rPr>
                    <w:t> （一）严格控制新增炼油项目，未列入《石化产业规划布局方案（修订版）》的新增炼油产能一律不得建设。 </w:t>
                  </w:r>
                </w:p>
                <w:p>
                  <w:pPr>
                    <w:pStyle w:val="12"/>
                    <w:spacing w:line="240" w:lineRule="auto"/>
                    <w:ind w:firstLine="420"/>
                    <w:rPr>
                      <w:color w:val="auto"/>
                      <w:szCs w:val="21"/>
                    </w:rPr>
                  </w:pPr>
                  <w:r>
                    <w:rPr>
                      <w:color w:val="auto"/>
                      <w:sz w:val="21"/>
                      <w:szCs w:val="21"/>
                    </w:rPr>
                    <w:t>（二）新建煤制烯烃、煤制芳烃项目必须列入《现代煤化工 产业创新发展布局方案》，必须符合《现代煤化工建设项目环境准入条件（试行）》要求。</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本项目为防洪治理工程，不涉及国家石化、现代煤化工等产业布局规划的项目。</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vAlign w:val="center"/>
                </w:tcPr>
                <w:p>
                  <w:pPr>
                    <w:pStyle w:val="12"/>
                    <w:spacing w:line="240" w:lineRule="auto"/>
                    <w:ind w:firstLine="420"/>
                    <w:rPr>
                      <w:color w:val="auto"/>
                      <w:szCs w:val="21"/>
                    </w:rPr>
                  </w:pPr>
                  <w:r>
                    <w:rPr>
                      <w:color w:val="auto"/>
                      <w:sz w:val="21"/>
                      <w:szCs w:val="21"/>
                    </w:rPr>
                    <w:t>第二十三条 禁止新建、扩建法律法规和相关政策明令禁止的落后产能项目。对《产业结构调整指导目录》中淘汰类项目，禁止投资；限制类的新建项目，禁止投资，对属于限制类的现有生产能力，允许企业在一定期限内采取措施改造升级。 </w:t>
                  </w:r>
                </w:p>
              </w:tc>
              <w:tc>
                <w:tcPr>
                  <w:tcW w:w="1858" w:type="pct"/>
                  <w:vAlign w:val="center"/>
                </w:tcPr>
                <w:p>
                  <w:pPr>
                    <w:adjustRightInd w:val="0"/>
                    <w:snapToGrid w:val="0"/>
                    <w:spacing w:line="276" w:lineRule="auto"/>
                    <w:jc w:val="center"/>
                    <w:rPr>
                      <w:color w:val="auto"/>
                      <w:kern w:val="0"/>
                      <w:szCs w:val="21"/>
                    </w:rPr>
                  </w:pPr>
                  <w:r>
                    <w:rPr>
                      <w:color w:val="auto"/>
                      <w:szCs w:val="21"/>
                    </w:rPr>
                    <w:t>本项目为防洪治理工程，不涉及法律法规和相关政策明令禁止的落后产能项目。</w:t>
                  </w:r>
                </w:p>
              </w:tc>
              <w:tc>
                <w:tcPr>
                  <w:tcW w:w="547" w:type="pct"/>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tcBorders>
                    <w:bottom w:val="single" w:color="auto" w:sz="4" w:space="0"/>
                  </w:tcBorders>
                  <w:vAlign w:val="center"/>
                </w:tcPr>
                <w:p>
                  <w:pPr>
                    <w:pStyle w:val="12"/>
                    <w:spacing w:line="240" w:lineRule="auto"/>
                    <w:ind w:firstLine="420"/>
                    <w:rPr>
                      <w:color w:val="auto"/>
                      <w:szCs w:val="21"/>
                    </w:rPr>
                  </w:pPr>
                  <w:r>
                    <w:rPr>
                      <w:color w:val="auto"/>
                      <w:sz w:val="21"/>
                      <w:szCs w:val="21"/>
                    </w:rPr>
                    <w:t>第二十四条 禁止新建、扩建不符合国家产能置换要求的严重过剩产能行业的项目。对于不符合国家产能置换要求的严重过剩产能行业，不得以其他任何名义、任何方式备案新增产能项目。 </w:t>
                  </w:r>
                </w:p>
              </w:tc>
              <w:tc>
                <w:tcPr>
                  <w:tcW w:w="1858" w:type="pct"/>
                  <w:tcBorders>
                    <w:bottom w:val="single" w:color="auto" w:sz="4" w:space="0"/>
                  </w:tcBorders>
                  <w:vAlign w:val="center"/>
                </w:tcPr>
                <w:p>
                  <w:pPr>
                    <w:adjustRightInd w:val="0"/>
                    <w:snapToGrid w:val="0"/>
                    <w:spacing w:line="276" w:lineRule="auto"/>
                    <w:jc w:val="center"/>
                    <w:rPr>
                      <w:color w:val="auto"/>
                      <w:kern w:val="0"/>
                      <w:szCs w:val="21"/>
                    </w:rPr>
                  </w:pPr>
                  <w:r>
                    <w:rPr>
                      <w:color w:val="auto"/>
                      <w:szCs w:val="21"/>
                    </w:rPr>
                    <w:t>本项目为防洪治理工程，不涉及国家产能置换要求的严重过剩产能行业的项目。</w:t>
                  </w:r>
                </w:p>
              </w:tc>
              <w:tc>
                <w:tcPr>
                  <w:tcW w:w="547" w:type="pct"/>
                  <w:tcBorders>
                    <w:bottom w:val="single" w:color="auto" w:sz="4" w:space="0"/>
                  </w:tcBorders>
                  <w:vAlign w:val="center"/>
                </w:tcPr>
                <w:p>
                  <w:pPr>
                    <w:adjustRightInd w:val="0"/>
                    <w:snapToGrid w:val="0"/>
                    <w:spacing w:line="276" w:lineRule="auto"/>
                    <w:jc w:val="center"/>
                    <w:rPr>
                      <w:color w:val="auto"/>
                      <w:kern w:val="0"/>
                      <w:szCs w:val="21"/>
                    </w:rPr>
                  </w:pPr>
                  <w:r>
                    <w:rPr>
                      <w:color w:val="auto"/>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93" w:type="pct"/>
                  <w:tcBorders>
                    <w:bottom w:val="single" w:color="auto" w:sz="12" w:space="0"/>
                  </w:tcBorders>
                  <w:vAlign w:val="center"/>
                </w:tcPr>
                <w:p>
                  <w:pPr>
                    <w:pStyle w:val="12"/>
                    <w:spacing w:line="240" w:lineRule="auto"/>
                    <w:ind w:firstLine="420"/>
                    <w:rPr>
                      <w:color w:val="auto"/>
                      <w:sz w:val="21"/>
                      <w:szCs w:val="21"/>
                    </w:rPr>
                  </w:pPr>
                  <w:r>
                    <w:rPr>
                      <w:color w:val="auto"/>
                      <w:sz w:val="21"/>
                      <w:szCs w:val="21"/>
                    </w:rPr>
                    <w:t>第二十五条 禁止建设以下燃油汽车投资项目（不在中国境内销售产品的投资项目除外）： </w:t>
                  </w:r>
                </w:p>
                <w:p>
                  <w:pPr>
                    <w:pStyle w:val="12"/>
                    <w:spacing w:line="240" w:lineRule="auto"/>
                    <w:ind w:firstLine="420"/>
                    <w:rPr>
                      <w:color w:val="auto"/>
                      <w:sz w:val="21"/>
                      <w:szCs w:val="21"/>
                    </w:rPr>
                  </w:pPr>
                  <w:r>
                    <w:rPr>
                      <w:color w:val="auto"/>
                      <w:sz w:val="21"/>
                      <w:szCs w:val="21"/>
                    </w:rPr>
                    <w:t>（一）新建独立燃油汽车企业； </w:t>
                  </w:r>
                </w:p>
                <w:p>
                  <w:pPr>
                    <w:pStyle w:val="12"/>
                    <w:spacing w:line="240" w:lineRule="auto"/>
                    <w:ind w:firstLine="420"/>
                    <w:rPr>
                      <w:color w:val="auto"/>
                      <w:sz w:val="21"/>
                      <w:szCs w:val="21"/>
                    </w:rPr>
                  </w:pPr>
                  <w:r>
                    <w:rPr>
                      <w:color w:val="auto"/>
                      <w:sz w:val="21"/>
                      <w:szCs w:val="21"/>
                    </w:rPr>
                    <w:t>（二）现有汽车企业跨乘用车、商用车类别建设燃油汽车生产能力； </w:t>
                  </w:r>
                </w:p>
                <w:p>
                  <w:pPr>
                    <w:pStyle w:val="12"/>
                    <w:spacing w:line="240" w:lineRule="auto"/>
                    <w:ind w:firstLine="420"/>
                    <w:rPr>
                      <w:color w:val="auto"/>
                      <w:sz w:val="21"/>
                      <w:szCs w:val="21"/>
                    </w:rPr>
                  </w:pPr>
                  <w:r>
                    <w:rPr>
                      <w:color w:val="auto"/>
                      <w:sz w:val="21"/>
                      <w:szCs w:val="21"/>
                    </w:rPr>
                    <w:t>（三）外省现有燃油汽车企业整体搬迁至本省（列入国家级 区域发展规划或不改变企业股权结构的项目除外）； </w:t>
                  </w:r>
                </w:p>
                <w:p>
                  <w:pPr>
                    <w:pStyle w:val="12"/>
                    <w:spacing w:line="240" w:lineRule="auto"/>
                    <w:ind w:firstLine="420"/>
                    <w:rPr>
                      <w:color w:val="auto"/>
                      <w:szCs w:val="21"/>
                    </w:rPr>
                  </w:pPr>
                  <w:r>
                    <w:rPr>
                      <w:color w:val="auto"/>
                      <w:sz w:val="21"/>
                      <w:szCs w:val="21"/>
                    </w:rPr>
                    <w:t>（四）对行业管理部门特别公示的燃油汽车企业进行投资 （企业原有股东投资或将该企业转为非独立法人的投资项目除外）。 </w:t>
                  </w:r>
                </w:p>
              </w:tc>
              <w:tc>
                <w:tcPr>
                  <w:tcW w:w="1858" w:type="pct"/>
                  <w:tcBorders>
                    <w:bottom w:val="single" w:color="auto" w:sz="12" w:space="0"/>
                  </w:tcBorders>
                  <w:vAlign w:val="center"/>
                </w:tcPr>
                <w:p>
                  <w:pPr>
                    <w:adjustRightInd w:val="0"/>
                    <w:snapToGrid w:val="0"/>
                    <w:spacing w:line="276" w:lineRule="auto"/>
                    <w:jc w:val="center"/>
                    <w:rPr>
                      <w:color w:val="auto"/>
                      <w:kern w:val="0"/>
                      <w:szCs w:val="21"/>
                    </w:rPr>
                  </w:pPr>
                  <w:r>
                    <w:rPr>
                      <w:color w:val="auto"/>
                      <w:szCs w:val="21"/>
                    </w:rPr>
                    <w:t>本项目为防洪治理工程，不涉及燃油汽车投资项目。</w:t>
                  </w:r>
                </w:p>
              </w:tc>
              <w:tc>
                <w:tcPr>
                  <w:tcW w:w="547" w:type="pct"/>
                  <w:tcBorders>
                    <w:bottom w:val="single" w:color="auto" w:sz="12" w:space="0"/>
                  </w:tcBorders>
                  <w:vAlign w:val="center"/>
                </w:tcPr>
                <w:p>
                  <w:pPr>
                    <w:adjustRightInd w:val="0"/>
                    <w:snapToGrid w:val="0"/>
                    <w:spacing w:line="276" w:lineRule="auto"/>
                    <w:jc w:val="center"/>
                    <w:rPr>
                      <w:color w:val="auto"/>
                      <w:kern w:val="0"/>
                      <w:szCs w:val="21"/>
                    </w:rPr>
                  </w:pPr>
                  <w:r>
                    <w:rPr>
                      <w:color w:val="auto"/>
                      <w:szCs w:val="21"/>
                    </w:rPr>
                    <w:t>符合</w:t>
                  </w:r>
                </w:p>
              </w:tc>
            </w:tr>
          </w:tbl>
          <w:p>
            <w:pPr>
              <w:adjustRightInd w:val="0"/>
              <w:snapToGrid w:val="0"/>
              <w:spacing w:line="360" w:lineRule="auto"/>
              <w:ind w:firstLine="480" w:firstLineChars="200"/>
              <w:rPr>
                <w:bCs/>
                <w:color w:val="auto"/>
                <w:sz w:val="24"/>
              </w:rPr>
            </w:pPr>
            <w:r>
              <w:rPr>
                <w:bCs/>
                <w:color w:val="auto"/>
                <w:sz w:val="24"/>
              </w:rPr>
              <w:t>综上，本项目建设符合</w:t>
            </w:r>
            <w:r>
              <w:rPr>
                <w:b/>
                <w:bCs/>
                <w:color w:val="auto"/>
                <w:sz w:val="24"/>
              </w:rPr>
              <w:t>《</w:t>
            </w:r>
            <w:r>
              <w:rPr>
                <w:color w:val="auto"/>
                <w:sz w:val="24"/>
              </w:rPr>
              <w:t>四川省、重庆市长江经济带发展负面清单实施细则（试行，2022年版）</w:t>
            </w:r>
            <w:r>
              <w:rPr>
                <w:b/>
                <w:bCs/>
                <w:color w:val="auto"/>
                <w:sz w:val="24"/>
              </w:rPr>
              <w:t>》</w:t>
            </w:r>
            <w:r>
              <w:rPr>
                <w:bCs/>
                <w:color w:val="auto"/>
                <w:sz w:val="24"/>
              </w:rPr>
              <w:t>的相关要求。</w:t>
            </w:r>
          </w:p>
          <w:p>
            <w:pPr>
              <w:tabs>
                <w:tab w:val="left" w:pos="709"/>
                <w:tab w:val="left" w:pos="851"/>
              </w:tabs>
              <w:adjustRightInd w:val="0"/>
              <w:snapToGrid w:val="0"/>
              <w:spacing w:line="360" w:lineRule="auto"/>
              <w:jc w:val="left"/>
              <w:rPr>
                <w:b/>
                <w:bCs/>
                <w:color w:val="auto"/>
                <w:sz w:val="24"/>
              </w:rPr>
            </w:pPr>
            <w:r>
              <w:rPr>
                <w:rFonts w:hint="eastAsia"/>
                <w:b/>
                <w:bCs/>
                <w:color w:val="auto"/>
                <w:sz w:val="24"/>
                <w:lang w:val="en-US" w:eastAsia="zh-CN"/>
              </w:rPr>
              <w:t>八</w:t>
            </w:r>
            <w:r>
              <w:rPr>
                <w:b/>
                <w:bCs/>
                <w:color w:val="auto"/>
                <w:sz w:val="24"/>
              </w:rPr>
              <w:t>、项目与《四川省嘉陵江流域生态环境保护条例》符合性分析</w:t>
            </w:r>
          </w:p>
          <w:p>
            <w:pPr>
              <w:autoSpaceDE w:val="0"/>
              <w:autoSpaceDN w:val="0"/>
              <w:adjustRightInd w:val="0"/>
              <w:snapToGrid w:val="0"/>
              <w:spacing w:line="360" w:lineRule="auto"/>
              <w:ind w:firstLine="480" w:firstLineChars="200"/>
              <w:rPr>
                <w:color w:val="auto"/>
                <w:kern w:val="0"/>
                <w:sz w:val="24"/>
              </w:rPr>
            </w:pPr>
            <w:r>
              <w:rPr>
                <w:color w:val="auto"/>
                <w:kern w:val="0"/>
                <w:sz w:val="24"/>
              </w:rPr>
              <w:t>本项目与《四川省嘉陵江流域生态环境保护条例》符合性分析如下。</w:t>
            </w:r>
          </w:p>
          <w:p>
            <w:pPr>
              <w:pStyle w:val="63"/>
              <w:keepNext/>
              <w:numPr>
                <w:ilvl w:val="0"/>
                <w:numId w:val="5"/>
              </w:numPr>
              <w:rPr>
                <w:b/>
                <w:color w:val="auto"/>
                <w:szCs w:val="21"/>
              </w:rPr>
            </w:pPr>
            <w:r>
              <w:rPr>
                <w:b/>
                <w:color w:val="auto"/>
                <w:szCs w:val="21"/>
              </w:rPr>
              <w:t>本项目与《四川省嘉陵江流域生态环境保护条例》符合性分析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5054"/>
              <w:gridCol w:w="2162"/>
              <w:gridCol w:w="9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Align w:val="center"/>
                </w:tcPr>
                <w:p>
                  <w:pPr>
                    <w:widowControl/>
                    <w:jc w:val="center"/>
                    <w:rPr>
                      <w:b/>
                      <w:bCs/>
                      <w:color w:val="auto"/>
                      <w:kern w:val="0"/>
                      <w:szCs w:val="21"/>
                    </w:rPr>
                  </w:pPr>
                  <w:r>
                    <w:rPr>
                      <w:b/>
                      <w:bCs/>
                      <w:color w:val="auto"/>
                      <w:kern w:val="0"/>
                      <w:szCs w:val="21"/>
                    </w:rPr>
                    <w:t>文件</w:t>
                  </w:r>
                </w:p>
              </w:tc>
              <w:tc>
                <w:tcPr>
                  <w:tcW w:w="2768" w:type="pct"/>
                  <w:vAlign w:val="center"/>
                </w:tcPr>
                <w:p>
                  <w:pPr>
                    <w:widowControl/>
                    <w:jc w:val="center"/>
                    <w:rPr>
                      <w:b/>
                      <w:bCs/>
                      <w:color w:val="auto"/>
                      <w:kern w:val="0"/>
                      <w:szCs w:val="21"/>
                    </w:rPr>
                  </w:pPr>
                  <w:r>
                    <w:rPr>
                      <w:b/>
                      <w:bCs/>
                      <w:color w:val="auto"/>
                      <w:kern w:val="0"/>
                      <w:szCs w:val="21"/>
                    </w:rPr>
                    <w:t>内容</w:t>
                  </w:r>
                </w:p>
              </w:tc>
              <w:tc>
                <w:tcPr>
                  <w:tcW w:w="1184" w:type="pct"/>
                  <w:vAlign w:val="center"/>
                </w:tcPr>
                <w:p>
                  <w:pPr>
                    <w:widowControl/>
                    <w:jc w:val="center"/>
                    <w:rPr>
                      <w:b/>
                      <w:bCs/>
                      <w:color w:val="auto"/>
                      <w:kern w:val="0"/>
                      <w:szCs w:val="21"/>
                    </w:rPr>
                  </w:pPr>
                  <w:r>
                    <w:rPr>
                      <w:b/>
                      <w:bCs/>
                      <w:color w:val="auto"/>
                      <w:kern w:val="0"/>
                      <w:szCs w:val="21"/>
                    </w:rPr>
                    <w:t>本项目</w:t>
                  </w:r>
                </w:p>
              </w:tc>
              <w:tc>
                <w:tcPr>
                  <w:tcW w:w="526"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restart"/>
                  <w:vAlign w:val="center"/>
                </w:tcPr>
                <w:p>
                  <w:pPr>
                    <w:pStyle w:val="83"/>
                    <w:widowControl/>
                    <w:spacing w:line="240" w:lineRule="auto"/>
                    <w:ind w:firstLine="0" w:firstLineChars="0"/>
                    <w:jc w:val="center"/>
                    <w:rPr>
                      <w:rFonts w:eastAsia="宋体"/>
                      <w:color w:val="auto"/>
                      <w:sz w:val="21"/>
                    </w:rPr>
                  </w:pPr>
                  <w:r>
                    <w:rPr>
                      <w:rFonts w:eastAsia="宋体"/>
                      <w:color w:val="auto"/>
                      <w:sz w:val="21"/>
                    </w:rPr>
                    <w:t>《四川省嘉陵江流域生态环境保护条例》</w:t>
                  </w:r>
                </w:p>
              </w:tc>
              <w:tc>
                <w:tcPr>
                  <w:tcW w:w="2768" w:type="pct"/>
                  <w:vAlign w:val="center"/>
                </w:tcPr>
                <w:p>
                  <w:pPr>
                    <w:jc w:val="left"/>
                    <w:rPr>
                      <w:color w:val="auto"/>
                      <w:kern w:val="0"/>
                      <w:szCs w:val="21"/>
                    </w:rPr>
                  </w:pPr>
                  <w:r>
                    <w:rPr>
                      <w:color w:val="auto"/>
                      <w:kern w:val="0"/>
                      <w:szCs w:val="21"/>
                    </w:rPr>
                    <w:t>第十七条 编制嘉陵江流域生态环境保护规划应当遵守生态保护红线、环境质量底线、资源利用上线和生态环境准入清单，符合国土空间规划、生态环境保护规划、岸线保护和开发利用规划等相关规划。编制其他有关专项规划或者方案，应当与国土空间规划和流域生态环境保护规划相衔接。</w:t>
                  </w:r>
                </w:p>
                <w:p>
                  <w:pPr>
                    <w:jc w:val="left"/>
                    <w:rPr>
                      <w:color w:val="auto"/>
                      <w:kern w:val="0"/>
                      <w:szCs w:val="21"/>
                    </w:rPr>
                  </w:pPr>
                  <w:r>
                    <w:rPr>
                      <w:color w:val="auto"/>
                      <w:kern w:val="0"/>
                      <w:szCs w:val="21"/>
                    </w:rPr>
                    <w:t>禁止在嘉陵江干支流岸线一公里范围内新建、扩建化工园区和化工项目。</w:t>
                  </w:r>
                </w:p>
              </w:tc>
              <w:tc>
                <w:tcPr>
                  <w:tcW w:w="1184" w:type="pct"/>
                  <w:vAlign w:val="center"/>
                </w:tcPr>
                <w:p>
                  <w:pPr>
                    <w:jc w:val="left"/>
                    <w:rPr>
                      <w:color w:val="auto"/>
                      <w:kern w:val="0"/>
                      <w:szCs w:val="21"/>
                    </w:rPr>
                  </w:pPr>
                  <w:r>
                    <w:rPr>
                      <w:color w:val="auto"/>
                      <w:kern w:val="0"/>
                      <w:szCs w:val="21"/>
                    </w:rPr>
                    <w:t>本项目为防洪治理工程，不涉及新建、扩建化工园区和化工项目。</w:t>
                  </w:r>
                </w:p>
              </w:tc>
              <w:tc>
                <w:tcPr>
                  <w:tcW w:w="526"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continue"/>
                  <w:vAlign w:val="center"/>
                </w:tcPr>
                <w:p>
                  <w:pPr>
                    <w:pStyle w:val="83"/>
                    <w:widowControl/>
                    <w:spacing w:line="240" w:lineRule="auto"/>
                    <w:ind w:firstLine="0" w:firstLineChars="0"/>
                    <w:jc w:val="center"/>
                    <w:rPr>
                      <w:rFonts w:eastAsia="宋体"/>
                      <w:color w:val="auto"/>
                      <w:sz w:val="21"/>
                    </w:rPr>
                  </w:pPr>
                </w:p>
              </w:tc>
              <w:tc>
                <w:tcPr>
                  <w:tcW w:w="2768" w:type="pct"/>
                  <w:vAlign w:val="center"/>
                </w:tcPr>
                <w:p>
                  <w:pPr>
                    <w:jc w:val="left"/>
                    <w:rPr>
                      <w:color w:val="auto"/>
                      <w:kern w:val="0"/>
                      <w:szCs w:val="21"/>
                    </w:rPr>
                  </w:pPr>
                  <w:r>
                    <w:rPr>
                      <w:color w:val="auto"/>
                      <w:kern w:val="0"/>
                      <w:szCs w:val="21"/>
                    </w:rPr>
                    <w:t>第十九条 嘉陵江流域实行重点水污染物排放总量控制制度。</w:t>
                  </w:r>
                </w:p>
              </w:tc>
              <w:tc>
                <w:tcPr>
                  <w:tcW w:w="1184" w:type="pct"/>
                  <w:vAlign w:val="center"/>
                </w:tcPr>
                <w:p>
                  <w:pPr>
                    <w:jc w:val="left"/>
                    <w:rPr>
                      <w:color w:val="auto"/>
                      <w:kern w:val="0"/>
                      <w:szCs w:val="21"/>
                    </w:rPr>
                  </w:pPr>
                  <w:r>
                    <w:rPr>
                      <w:color w:val="auto"/>
                      <w:kern w:val="0"/>
                      <w:szCs w:val="21"/>
                    </w:rPr>
                    <w:t>本项目为防洪治理工程，不涉及水污染物排放。</w:t>
                  </w:r>
                </w:p>
              </w:tc>
              <w:tc>
                <w:tcPr>
                  <w:tcW w:w="526"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continue"/>
                  <w:vAlign w:val="center"/>
                </w:tcPr>
                <w:p>
                  <w:pPr>
                    <w:pStyle w:val="83"/>
                    <w:widowControl/>
                    <w:spacing w:line="240" w:lineRule="auto"/>
                    <w:ind w:firstLine="0" w:firstLineChars="0"/>
                    <w:jc w:val="center"/>
                    <w:rPr>
                      <w:rFonts w:eastAsia="宋体"/>
                      <w:color w:val="auto"/>
                      <w:sz w:val="21"/>
                    </w:rPr>
                  </w:pPr>
                </w:p>
              </w:tc>
              <w:tc>
                <w:tcPr>
                  <w:tcW w:w="2768" w:type="pct"/>
                  <w:vAlign w:val="center"/>
                </w:tcPr>
                <w:p>
                  <w:pPr>
                    <w:jc w:val="left"/>
                    <w:rPr>
                      <w:color w:val="auto"/>
                      <w:kern w:val="0"/>
                      <w:szCs w:val="21"/>
                    </w:rPr>
                  </w:pPr>
                  <w:r>
                    <w:rPr>
                      <w:color w:val="auto"/>
                      <w:kern w:val="0"/>
                      <w:szCs w:val="21"/>
                    </w:rPr>
                    <w:t>第二十条 嘉陵江流域实行流域和区域用水总量控制和消耗强度控制管理制度。加强相关规划和项目建设布局水资源论证工作，国民经济和社会发展规划以及国土空间规划的编制、重大建设项目的布局，应当与当地水资源条件和防洪要求相适应。</w:t>
                  </w:r>
                </w:p>
              </w:tc>
              <w:tc>
                <w:tcPr>
                  <w:tcW w:w="1184" w:type="pct"/>
                  <w:vAlign w:val="center"/>
                </w:tcPr>
                <w:p>
                  <w:pPr>
                    <w:jc w:val="left"/>
                    <w:rPr>
                      <w:color w:val="auto"/>
                      <w:kern w:val="0"/>
                      <w:szCs w:val="21"/>
                    </w:rPr>
                  </w:pPr>
                  <w:r>
                    <w:rPr>
                      <w:color w:val="auto"/>
                      <w:kern w:val="0"/>
                      <w:szCs w:val="21"/>
                    </w:rPr>
                    <w:t>本项目为防洪治理工程，项目施工期间严格遵守嘉陵江流域实行流域和区域用水总量控制和消耗强度控制管理制度，与当地水防洪要求相适应。</w:t>
                  </w:r>
                </w:p>
              </w:tc>
              <w:tc>
                <w:tcPr>
                  <w:tcW w:w="526"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continue"/>
                  <w:vAlign w:val="center"/>
                </w:tcPr>
                <w:p>
                  <w:pPr>
                    <w:pStyle w:val="83"/>
                    <w:widowControl/>
                    <w:spacing w:line="240" w:lineRule="auto"/>
                    <w:ind w:firstLine="0" w:firstLineChars="0"/>
                    <w:jc w:val="center"/>
                    <w:rPr>
                      <w:rFonts w:eastAsia="宋体"/>
                      <w:color w:val="auto"/>
                      <w:sz w:val="21"/>
                    </w:rPr>
                  </w:pPr>
                </w:p>
              </w:tc>
              <w:tc>
                <w:tcPr>
                  <w:tcW w:w="2768" w:type="pct"/>
                  <w:vAlign w:val="center"/>
                </w:tcPr>
                <w:p>
                  <w:pPr>
                    <w:jc w:val="left"/>
                    <w:rPr>
                      <w:color w:val="auto"/>
                      <w:kern w:val="0"/>
                      <w:szCs w:val="21"/>
                    </w:rPr>
                  </w:pPr>
                  <w:r>
                    <w:rPr>
                      <w:color w:val="auto"/>
                      <w:kern w:val="0"/>
                      <w:szCs w:val="21"/>
                    </w:rPr>
                    <w:t>第二十一条 排污单位排放污染物不得超过国家和省污染物排放标准，不得超过重点水污染物排放总量控制指标。</w:t>
                  </w:r>
                </w:p>
                <w:p>
                  <w:pPr>
                    <w:jc w:val="left"/>
                    <w:rPr>
                      <w:color w:val="auto"/>
                      <w:kern w:val="0"/>
                      <w:szCs w:val="21"/>
                    </w:rPr>
                  </w:pPr>
                  <w:r>
                    <w:rPr>
                      <w:color w:val="auto"/>
                      <w:kern w:val="0"/>
                      <w:szCs w:val="21"/>
                    </w:rPr>
                    <w:t>按照国家规定实行排污许可管理的企业事业单位和其他生产经营者，应当依法向设区的市级以上地方人民政府生态环境主管部门申请取得排污许可证，按照排污许可证的规定排放污染物；禁止未取得排污许可证或者违反排污许可证的规定排放污染物。</w:t>
                  </w:r>
                </w:p>
              </w:tc>
              <w:tc>
                <w:tcPr>
                  <w:tcW w:w="1184" w:type="pct"/>
                  <w:vAlign w:val="center"/>
                </w:tcPr>
                <w:p>
                  <w:pPr>
                    <w:jc w:val="left"/>
                    <w:rPr>
                      <w:color w:val="auto"/>
                      <w:kern w:val="0"/>
                      <w:szCs w:val="21"/>
                    </w:rPr>
                  </w:pPr>
                  <w:r>
                    <w:rPr>
                      <w:color w:val="auto"/>
                      <w:kern w:val="0"/>
                      <w:szCs w:val="21"/>
                    </w:rPr>
                    <w:t>本项目为防洪治理工程，项目施工期产生的生活污水依托租用居民房屋已建化粪池处理后用于周边农田及林地施肥，不外排，不涉及水污染物排放。</w:t>
                  </w:r>
                </w:p>
              </w:tc>
              <w:tc>
                <w:tcPr>
                  <w:tcW w:w="526"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continue"/>
                  <w:vAlign w:val="center"/>
                </w:tcPr>
                <w:p>
                  <w:pPr>
                    <w:pStyle w:val="83"/>
                    <w:widowControl/>
                    <w:spacing w:line="240" w:lineRule="auto"/>
                    <w:ind w:firstLine="0" w:firstLineChars="0"/>
                    <w:jc w:val="center"/>
                    <w:rPr>
                      <w:rFonts w:eastAsia="宋体"/>
                      <w:color w:val="auto"/>
                      <w:sz w:val="21"/>
                    </w:rPr>
                  </w:pPr>
                </w:p>
              </w:tc>
              <w:tc>
                <w:tcPr>
                  <w:tcW w:w="2768" w:type="pct"/>
                  <w:vAlign w:val="center"/>
                </w:tcPr>
                <w:p>
                  <w:pPr>
                    <w:jc w:val="left"/>
                    <w:rPr>
                      <w:color w:val="auto"/>
                      <w:kern w:val="0"/>
                      <w:szCs w:val="21"/>
                    </w:rPr>
                  </w:pPr>
                  <w:r>
                    <w:rPr>
                      <w:color w:val="auto"/>
                      <w:kern w:val="0"/>
                      <w:szCs w:val="21"/>
                    </w:rPr>
                    <w:t>第二十二条 嘉陵江流域县级以上地方人民政府生态环境主管部门应当依法加强流域入河排污口的监督管理。</w:t>
                  </w:r>
                </w:p>
                <w:p>
                  <w:pPr>
                    <w:jc w:val="left"/>
                    <w:rPr>
                      <w:color w:val="auto"/>
                      <w:kern w:val="0"/>
                      <w:szCs w:val="21"/>
                    </w:rPr>
                  </w:pPr>
                  <w:r>
                    <w:rPr>
                      <w:color w:val="auto"/>
                      <w:kern w:val="0"/>
                      <w:szCs w:val="21"/>
                    </w:rPr>
                    <w:t>企业事业单位和其他生产经营者向嘉陵江流域排放污水的，应当按照生态环境主管部门的规定建设规范化污染物排放口，并设置标志牌。</w:t>
                  </w:r>
                </w:p>
                <w:p>
                  <w:pPr>
                    <w:jc w:val="left"/>
                    <w:rPr>
                      <w:color w:val="auto"/>
                      <w:kern w:val="0"/>
                      <w:szCs w:val="21"/>
                    </w:rPr>
                  </w:pPr>
                  <w:r>
                    <w:rPr>
                      <w:color w:val="auto"/>
                      <w:kern w:val="0"/>
                      <w:szCs w:val="21"/>
                    </w:rPr>
                    <w:t>重点排污单位应当安装水污染物排放自动监测设备，与生态环境主管部门的监控设备联网，并保证监测设备正常运行。</w:t>
                  </w:r>
                </w:p>
              </w:tc>
              <w:tc>
                <w:tcPr>
                  <w:tcW w:w="1184" w:type="pct"/>
                  <w:vAlign w:val="center"/>
                </w:tcPr>
                <w:p>
                  <w:pPr>
                    <w:jc w:val="left"/>
                    <w:rPr>
                      <w:color w:val="auto"/>
                      <w:kern w:val="0"/>
                      <w:szCs w:val="21"/>
                    </w:rPr>
                  </w:pPr>
                  <w:r>
                    <w:rPr>
                      <w:color w:val="auto"/>
                      <w:kern w:val="0"/>
                      <w:szCs w:val="21"/>
                    </w:rPr>
                    <w:t>本项目为防洪治理工程，不涉及排污口。</w:t>
                  </w:r>
                </w:p>
              </w:tc>
              <w:tc>
                <w:tcPr>
                  <w:tcW w:w="526"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continue"/>
                  <w:vAlign w:val="center"/>
                </w:tcPr>
                <w:p>
                  <w:pPr>
                    <w:pStyle w:val="83"/>
                    <w:widowControl/>
                    <w:spacing w:line="240" w:lineRule="auto"/>
                    <w:ind w:firstLine="0" w:firstLineChars="0"/>
                    <w:jc w:val="center"/>
                    <w:rPr>
                      <w:rFonts w:eastAsia="宋体"/>
                      <w:color w:val="auto"/>
                      <w:sz w:val="21"/>
                    </w:rPr>
                  </w:pPr>
                </w:p>
              </w:tc>
              <w:tc>
                <w:tcPr>
                  <w:tcW w:w="2768" w:type="pct"/>
                  <w:vAlign w:val="center"/>
                </w:tcPr>
                <w:p>
                  <w:pPr>
                    <w:jc w:val="left"/>
                    <w:rPr>
                      <w:color w:val="auto"/>
                      <w:kern w:val="0"/>
                      <w:szCs w:val="21"/>
                    </w:rPr>
                  </w:pPr>
                  <w:r>
                    <w:rPr>
                      <w:color w:val="auto"/>
                      <w:kern w:val="0"/>
                      <w:szCs w:val="21"/>
                    </w:rPr>
                    <w:t>第二十四条 嘉陵江流域县级以上地方人民政府应当建立水环境风险防范体系，制定突发生态环境事件应急预案，加强对流域船舶、运输车辆、输油管道、港口、矿山、化工厂、尾矿库等发生的突发生态环境事件的应急管理。</w:t>
                  </w:r>
                </w:p>
              </w:tc>
              <w:tc>
                <w:tcPr>
                  <w:tcW w:w="1184" w:type="pct"/>
                  <w:vAlign w:val="center"/>
                </w:tcPr>
                <w:p>
                  <w:pPr>
                    <w:jc w:val="left"/>
                    <w:rPr>
                      <w:color w:val="auto"/>
                      <w:kern w:val="0"/>
                      <w:szCs w:val="21"/>
                    </w:rPr>
                  </w:pPr>
                  <w:r>
                    <w:rPr>
                      <w:color w:val="auto"/>
                      <w:kern w:val="0"/>
                      <w:szCs w:val="21"/>
                    </w:rPr>
                    <w:t>本项目为防洪治理工程，按要求建立水环境风险防范体系。</w:t>
                  </w:r>
                </w:p>
              </w:tc>
              <w:tc>
                <w:tcPr>
                  <w:tcW w:w="526"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continue"/>
                  <w:vAlign w:val="center"/>
                </w:tcPr>
                <w:p>
                  <w:pPr>
                    <w:pStyle w:val="83"/>
                    <w:widowControl/>
                    <w:spacing w:line="240" w:lineRule="auto"/>
                    <w:ind w:firstLine="0" w:firstLineChars="0"/>
                    <w:jc w:val="center"/>
                    <w:rPr>
                      <w:rFonts w:eastAsia="宋体"/>
                      <w:color w:val="auto"/>
                      <w:sz w:val="21"/>
                    </w:rPr>
                  </w:pPr>
                </w:p>
              </w:tc>
              <w:tc>
                <w:tcPr>
                  <w:tcW w:w="2768" w:type="pct"/>
                  <w:vAlign w:val="center"/>
                </w:tcPr>
                <w:p>
                  <w:pPr>
                    <w:jc w:val="left"/>
                    <w:rPr>
                      <w:color w:val="auto"/>
                      <w:kern w:val="0"/>
                      <w:szCs w:val="21"/>
                    </w:rPr>
                  </w:pPr>
                  <w:r>
                    <w:rPr>
                      <w:color w:val="auto"/>
                      <w:kern w:val="0"/>
                      <w:szCs w:val="21"/>
                    </w:rPr>
                    <w:t>第二十五条 嘉陵江流域地方各级人民政府及其有关部门、可能发生水污染事故的企业事业单位和其他生产经营者，应当按照国家和省有关规定做好突发水污染事故的应急准备、应急处置和事后恢复等工作。</w:t>
                  </w:r>
                </w:p>
                <w:p>
                  <w:pPr>
                    <w:jc w:val="left"/>
                    <w:rPr>
                      <w:color w:val="auto"/>
                      <w:kern w:val="0"/>
                      <w:szCs w:val="21"/>
                    </w:rPr>
                  </w:pPr>
                  <w:r>
                    <w:rPr>
                      <w:color w:val="auto"/>
                      <w:kern w:val="0"/>
                      <w:szCs w:val="21"/>
                    </w:rPr>
                    <w:t>水污染事故处置及事后恢复所需费用，由造成水污染事故的企业事业单位或者生产经营者承担。</w:t>
                  </w:r>
                </w:p>
              </w:tc>
              <w:tc>
                <w:tcPr>
                  <w:tcW w:w="1184" w:type="pct"/>
                  <w:vAlign w:val="center"/>
                </w:tcPr>
                <w:p>
                  <w:pPr>
                    <w:jc w:val="left"/>
                    <w:rPr>
                      <w:color w:val="auto"/>
                      <w:kern w:val="0"/>
                      <w:szCs w:val="21"/>
                    </w:rPr>
                  </w:pPr>
                  <w:r>
                    <w:rPr>
                      <w:color w:val="auto"/>
                      <w:kern w:val="0"/>
                      <w:szCs w:val="21"/>
                    </w:rPr>
                    <w:t>本项目为防洪治理工程，不涉及水污染事故。</w:t>
                  </w:r>
                </w:p>
              </w:tc>
              <w:tc>
                <w:tcPr>
                  <w:tcW w:w="526"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21" w:type="pct"/>
                  <w:vMerge w:val="continue"/>
                  <w:vAlign w:val="center"/>
                </w:tcPr>
                <w:p>
                  <w:pPr>
                    <w:pStyle w:val="83"/>
                    <w:widowControl/>
                    <w:spacing w:line="240" w:lineRule="auto"/>
                    <w:ind w:firstLine="0" w:firstLineChars="0"/>
                    <w:jc w:val="center"/>
                    <w:rPr>
                      <w:rFonts w:eastAsia="宋体"/>
                      <w:color w:val="auto"/>
                      <w:sz w:val="21"/>
                    </w:rPr>
                  </w:pPr>
                </w:p>
              </w:tc>
              <w:tc>
                <w:tcPr>
                  <w:tcW w:w="2768" w:type="pct"/>
                  <w:vAlign w:val="center"/>
                </w:tcPr>
                <w:p>
                  <w:pPr>
                    <w:jc w:val="left"/>
                    <w:rPr>
                      <w:color w:val="auto"/>
                      <w:kern w:val="0"/>
                      <w:szCs w:val="21"/>
                    </w:rPr>
                  </w:pPr>
                  <w:r>
                    <w:rPr>
                      <w:color w:val="auto"/>
                      <w:kern w:val="0"/>
                      <w:szCs w:val="21"/>
                    </w:rPr>
                    <w:t>第二十八条 重点排污单位应当接受社会监督，依法公开以下环境信息：</w:t>
                  </w:r>
                </w:p>
                <w:p>
                  <w:pPr>
                    <w:jc w:val="left"/>
                    <w:rPr>
                      <w:color w:val="auto"/>
                      <w:kern w:val="0"/>
                      <w:szCs w:val="21"/>
                    </w:rPr>
                  </w:pPr>
                  <w:r>
                    <w:rPr>
                      <w:color w:val="auto"/>
                      <w:kern w:val="0"/>
                      <w:szCs w:val="21"/>
                    </w:rPr>
                    <w:t>(一)主要污染物排放信息，包括污染物排放种类、排放浓度、排放量、排放方式、超标排放情况、排放口数量和分布情况，以及执行的污染物排放标准、核定的排放总量;</w:t>
                  </w:r>
                </w:p>
                <w:p>
                  <w:pPr>
                    <w:jc w:val="left"/>
                    <w:rPr>
                      <w:color w:val="auto"/>
                      <w:kern w:val="0"/>
                      <w:szCs w:val="21"/>
                    </w:rPr>
                  </w:pPr>
                  <w:r>
                    <w:rPr>
                      <w:color w:val="auto"/>
                      <w:kern w:val="0"/>
                      <w:szCs w:val="21"/>
                    </w:rPr>
                    <w:t>(二)污染防治、排放设施的建设运行维护情况，排污许可证执行报告，自行监测数据等</w:t>
                  </w:r>
                  <w:r>
                    <w:rPr>
                      <w:rFonts w:hint="eastAsia"/>
                      <w:color w:val="auto"/>
                      <w:kern w:val="0"/>
                      <w:szCs w:val="21"/>
                      <w:lang w:eastAsia="zh-CN"/>
                    </w:rPr>
                    <w:t>；</w:t>
                  </w:r>
                  <w:r>
                    <w:rPr>
                      <w:color w:val="auto"/>
                      <w:kern w:val="0"/>
                      <w:szCs w:val="21"/>
                    </w:rPr>
                    <w:t>其中，水污染物排入市政排水管网的，还应当包括污水接入市政排水管网位置、排放方式等;</w:t>
                  </w:r>
                </w:p>
                <w:p>
                  <w:pPr>
                    <w:jc w:val="left"/>
                    <w:rPr>
                      <w:color w:val="auto"/>
                      <w:kern w:val="0"/>
                      <w:szCs w:val="21"/>
                    </w:rPr>
                  </w:pPr>
                  <w:r>
                    <w:rPr>
                      <w:color w:val="auto"/>
                      <w:kern w:val="0"/>
                      <w:szCs w:val="21"/>
                    </w:rPr>
                    <w:t>(三)建设项目环境影响评价、环境保护行政许可和行政处罚情况；</w:t>
                  </w:r>
                </w:p>
                <w:p>
                  <w:pPr>
                    <w:jc w:val="left"/>
                    <w:rPr>
                      <w:color w:val="auto"/>
                      <w:kern w:val="0"/>
                      <w:szCs w:val="21"/>
                    </w:rPr>
                  </w:pPr>
                  <w:r>
                    <w:rPr>
                      <w:color w:val="auto"/>
                      <w:kern w:val="0"/>
                      <w:szCs w:val="21"/>
                    </w:rPr>
                    <w:t>(四)突发生态环境事件应急预案；</w:t>
                  </w:r>
                </w:p>
                <w:p>
                  <w:pPr>
                    <w:jc w:val="left"/>
                    <w:rPr>
                      <w:color w:val="auto"/>
                      <w:kern w:val="0"/>
                      <w:szCs w:val="21"/>
                    </w:rPr>
                  </w:pPr>
                  <w:r>
                    <w:rPr>
                      <w:color w:val="auto"/>
                      <w:kern w:val="0"/>
                      <w:szCs w:val="21"/>
                    </w:rPr>
                    <w:t>(五)环境信用；</w:t>
                  </w:r>
                </w:p>
                <w:p>
                  <w:pPr>
                    <w:jc w:val="left"/>
                    <w:rPr>
                      <w:color w:val="auto"/>
                      <w:kern w:val="0"/>
                      <w:szCs w:val="21"/>
                    </w:rPr>
                  </w:pPr>
                  <w:r>
                    <w:rPr>
                      <w:color w:val="auto"/>
                      <w:kern w:val="0"/>
                      <w:szCs w:val="21"/>
                    </w:rPr>
                    <w:t>(六)法律、法规规定的其他应当公开的信息。</w:t>
                  </w:r>
                </w:p>
              </w:tc>
              <w:tc>
                <w:tcPr>
                  <w:tcW w:w="1184" w:type="pct"/>
                  <w:vAlign w:val="center"/>
                </w:tcPr>
                <w:p>
                  <w:pPr>
                    <w:jc w:val="left"/>
                    <w:rPr>
                      <w:color w:val="auto"/>
                      <w:kern w:val="0"/>
                      <w:szCs w:val="21"/>
                    </w:rPr>
                  </w:pPr>
                  <w:r>
                    <w:rPr>
                      <w:color w:val="auto"/>
                      <w:kern w:val="0"/>
                      <w:szCs w:val="21"/>
                    </w:rPr>
                    <w:t>本项目为防洪治理工程，不涉及重点排污单位。</w:t>
                  </w:r>
                </w:p>
              </w:tc>
              <w:tc>
                <w:tcPr>
                  <w:tcW w:w="526" w:type="pct"/>
                  <w:vAlign w:val="center"/>
                </w:tcPr>
                <w:p>
                  <w:pPr>
                    <w:jc w:val="center"/>
                    <w:rPr>
                      <w:color w:val="auto"/>
                      <w:kern w:val="0"/>
                      <w:szCs w:val="21"/>
                    </w:rPr>
                  </w:pPr>
                  <w:r>
                    <w:rPr>
                      <w:color w:val="auto"/>
                      <w:kern w:val="0"/>
                      <w:szCs w:val="21"/>
                    </w:rPr>
                    <w:t>符合</w:t>
                  </w:r>
                </w:p>
              </w:tc>
            </w:tr>
          </w:tbl>
          <w:p>
            <w:pPr>
              <w:numPr>
                <w:ilvl w:val="0"/>
                <w:numId w:val="0"/>
              </w:numPr>
              <w:adjustRightInd w:val="0"/>
              <w:snapToGrid w:val="0"/>
              <w:spacing w:line="360" w:lineRule="auto"/>
              <w:rPr>
                <w:rFonts w:hint="default" w:ascii="Times New Roman" w:hAnsi="Times New Roman" w:eastAsia="宋体" w:cs="Times New Roman"/>
                <w:b/>
                <w:bCs/>
                <w:color w:val="auto"/>
                <w:kern w:val="2"/>
                <w:sz w:val="24"/>
                <w:szCs w:val="24"/>
                <w:lang w:val="en-US" w:eastAsia="zh-CN" w:bidi="zh-TW"/>
              </w:rPr>
            </w:pPr>
            <w:r>
              <w:rPr>
                <w:rFonts w:hint="eastAsia" w:cs="Times New Roman"/>
                <w:b/>
                <w:bCs/>
                <w:color w:val="auto"/>
                <w:kern w:val="2"/>
                <w:sz w:val="24"/>
                <w:szCs w:val="24"/>
                <w:lang w:val="en-US" w:eastAsia="zh-CN" w:bidi="zh-TW"/>
              </w:rPr>
              <w:t>九、项目与《&lt;水污染防治行动计划&gt;广元市工作方案》符合性分析</w:t>
            </w:r>
          </w:p>
          <w:p>
            <w:pPr>
              <w:autoSpaceDE w:val="0"/>
              <w:autoSpaceDN w:val="0"/>
              <w:adjustRightInd w:val="0"/>
              <w:snapToGrid w:val="0"/>
              <w:spacing w:line="360" w:lineRule="auto"/>
              <w:ind w:firstLine="480" w:firstLineChars="200"/>
              <w:rPr>
                <w:rFonts w:hint="eastAsia"/>
                <w:color w:val="auto"/>
                <w:kern w:val="0"/>
                <w:sz w:val="24"/>
                <w:lang w:eastAsia="zh-CN"/>
              </w:rPr>
            </w:pPr>
            <w:r>
              <w:rPr>
                <w:color w:val="auto"/>
                <w:kern w:val="0"/>
                <w:sz w:val="24"/>
              </w:rPr>
              <w:t>本项目与</w:t>
            </w:r>
            <w:r>
              <w:rPr>
                <w:rFonts w:hint="eastAsia"/>
                <w:color w:val="auto"/>
                <w:kern w:val="0"/>
                <w:sz w:val="24"/>
                <w:lang w:val="en-US" w:eastAsia="zh-CN"/>
              </w:rPr>
              <w:t>《&lt;水污染防治行动计划&gt;广元市工作方案》</w:t>
            </w:r>
            <w:r>
              <w:rPr>
                <w:color w:val="auto"/>
                <w:kern w:val="0"/>
                <w:sz w:val="24"/>
              </w:rPr>
              <w:t>符合性分析如下</w:t>
            </w:r>
            <w:r>
              <w:rPr>
                <w:rFonts w:hint="eastAsia"/>
                <w:color w:val="auto"/>
                <w:kern w:val="0"/>
                <w:sz w:val="24"/>
                <w:lang w:eastAsia="zh-CN"/>
              </w:rPr>
              <w:t>。</w:t>
            </w:r>
          </w:p>
          <w:p>
            <w:pPr>
              <w:pStyle w:val="63"/>
              <w:keepNext/>
              <w:numPr>
                <w:ilvl w:val="0"/>
                <w:numId w:val="5"/>
              </w:numPr>
              <w:rPr>
                <w:b/>
                <w:color w:val="auto"/>
                <w:szCs w:val="21"/>
              </w:rPr>
            </w:pPr>
            <w:r>
              <w:rPr>
                <w:b/>
                <w:color w:val="auto"/>
                <w:szCs w:val="21"/>
              </w:rPr>
              <w:t>本项目与</w:t>
            </w:r>
            <w:r>
              <w:rPr>
                <w:rFonts w:hint="eastAsia"/>
                <w:b/>
                <w:color w:val="auto"/>
                <w:szCs w:val="21"/>
                <w:lang w:val="en-US" w:eastAsia="zh-CN"/>
              </w:rPr>
              <w:t>《&lt;水污染防治行动计划&gt;广元市工作方案》</w:t>
            </w:r>
            <w:r>
              <w:rPr>
                <w:b/>
                <w:color w:val="auto"/>
                <w:szCs w:val="21"/>
              </w:rPr>
              <w:t>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4094"/>
              <w:gridCol w:w="3132"/>
              <w:gridCol w:w="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6" w:type="pct"/>
                  <w:vAlign w:val="center"/>
                </w:tcPr>
                <w:p>
                  <w:pPr>
                    <w:widowControl/>
                    <w:jc w:val="center"/>
                    <w:rPr>
                      <w:b/>
                      <w:bCs/>
                      <w:color w:val="auto"/>
                      <w:kern w:val="0"/>
                      <w:szCs w:val="21"/>
                    </w:rPr>
                  </w:pPr>
                  <w:r>
                    <w:rPr>
                      <w:b/>
                      <w:bCs/>
                      <w:color w:val="auto"/>
                      <w:kern w:val="0"/>
                      <w:szCs w:val="21"/>
                    </w:rPr>
                    <w:t>文件</w:t>
                  </w:r>
                </w:p>
              </w:tc>
              <w:tc>
                <w:tcPr>
                  <w:tcW w:w="2242" w:type="pct"/>
                  <w:vAlign w:val="center"/>
                </w:tcPr>
                <w:p>
                  <w:pPr>
                    <w:widowControl/>
                    <w:jc w:val="center"/>
                    <w:rPr>
                      <w:b/>
                      <w:bCs/>
                      <w:color w:val="auto"/>
                      <w:kern w:val="0"/>
                      <w:szCs w:val="21"/>
                    </w:rPr>
                  </w:pPr>
                  <w:r>
                    <w:rPr>
                      <w:b/>
                      <w:bCs/>
                      <w:color w:val="auto"/>
                      <w:kern w:val="0"/>
                      <w:szCs w:val="21"/>
                    </w:rPr>
                    <w:t>内容</w:t>
                  </w:r>
                </w:p>
              </w:tc>
              <w:tc>
                <w:tcPr>
                  <w:tcW w:w="1715" w:type="pct"/>
                  <w:vAlign w:val="center"/>
                </w:tcPr>
                <w:p>
                  <w:pPr>
                    <w:widowControl/>
                    <w:jc w:val="center"/>
                    <w:rPr>
                      <w:b/>
                      <w:bCs/>
                      <w:color w:val="auto"/>
                      <w:kern w:val="0"/>
                      <w:szCs w:val="21"/>
                    </w:rPr>
                  </w:pPr>
                  <w:r>
                    <w:rPr>
                      <w:b/>
                      <w:bCs/>
                      <w:color w:val="auto"/>
                      <w:kern w:val="0"/>
                      <w:szCs w:val="21"/>
                    </w:rPr>
                    <w:t>本项目</w:t>
                  </w:r>
                </w:p>
              </w:tc>
              <w:tc>
                <w:tcPr>
                  <w:tcW w:w="525"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6" w:type="pct"/>
                  <w:vMerge w:val="restart"/>
                  <w:vAlign w:val="center"/>
                </w:tcPr>
                <w:p>
                  <w:pPr>
                    <w:pStyle w:val="83"/>
                    <w:widowControl/>
                    <w:spacing w:line="240" w:lineRule="auto"/>
                    <w:ind w:firstLine="0" w:firstLineChars="0"/>
                    <w:jc w:val="center"/>
                    <w:rPr>
                      <w:rFonts w:eastAsia="宋体"/>
                      <w:color w:val="auto"/>
                      <w:sz w:val="21"/>
                    </w:rPr>
                  </w:pPr>
                  <w:r>
                    <w:rPr>
                      <w:rFonts w:hint="eastAsia" w:eastAsia="宋体"/>
                      <w:color w:val="auto"/>
                      <w:sz w:val="21"/>
                      <w:lang w:val="en-US" w:eastAsia="zh-CN"/>
                    </w:rPr>
                    <w:t>《&lt;水污染防治行动计划&gt;广元市工作方案》</w:t>
                  </w:r>
                </w:p>
              </w:tc>
              <w:tc>
                <w:tcPr>
                  <w:tcW w:w="2242" w:type="pct"/>
                  <w:vAlign w:val="center"/>
                </w:tcPr>
                <w:p>
                  <w:pPr>
                    <w:jc w:val="left"/>
                    <w:rPr>
                      <w:rFonts w:hint="eastAsia"/>
                      <w:color w:val="auto"/>
                      <w:kern w:val="0"/>
                      <w:szCs w:val="21"/>
                      <w:lang w:val="en-US" w:eastAsia="zh-CN"/>
                    </w:rPr>
                  </w:pPr>
                  <w:r>
                    <w:rPr>
                      <w:rFonts w:hint="eastAsia"/>
                      <w:color w:val="auto"/>
                      <w:kern w:val="0"/>
                      <w:szCs w:val="21"/>
                      <w:lang w:eastAsia="zh-CN"/>
                    </w:rPr>
                    <w:t>（</w:t>
                  </w:r>
                  <w:r>
                    <w:rPr>
                      <w:rFonts w:hint="eastAsia"/>
                      <w:color w:val="auto"/>
                      <w:kern w:val="0"/>
                      <w:szCs w:val="21"/>
                      <w:lang w:val="en-US" w:eastAsia="zh-CN"/>
                    </w:rPr>
                    <w:t>三</w:t>
                  </w:r>
                  <w:r>
                    <w:rPr>
                      <w:rFonts w:hint="eastAsia"/>
                      <w:color w:val="auto"/>
                      <w:kern w:val="0"/>
                      <w:szCs w:val="21"/>
                      <w:lang w:eastAsia="zh-CN"/>
                    </w:rPr>
                    <w:t>）</w:t>
                  </w:r>
                  <w:r>
                    <w:rPr>
                      <w:rFonts w:hint="eastAsia"/>
                      <w:color w:val="auto"/>
                      <w:kern w:val="0"/>
                      <w:szCs w:val="21"/>
                      <w:lang w:val="en-US" w:eastAsia="zh-CN"/>
                    </w:rPr>
                    <w:t>推进农业农村污染防治</w:t>
                  </w:r>
                </w:p>
                <w:p>
                  <w:pPr>
                    <w:jc w:val="left"/>
                    <w:rPr>
                      <w:color w:val="auto"/>
                      <w:kern w:val="0"/>
                      <w:szCs w:val="21"/>
                    </w:rPr>
                  </w:pPr>
                  <w:r>
                    <w:rPr>
                      <w:rFonts w:hint="eastAsia"/>
                      <w:color w:val="auto"/>
                      <w:kern w:val="0"/>
                      <w:szCs w:val="21"/>
                      <w:lang w:val="en-US" w:eastAsia="zh-CN"/>
                    </w:rPr>
                    <w:t>11.开展河塘清淤疏浚。按照相关规划要求，在农村积极开展河道、小塘坝、小水库的清淤疏浚、岸坡整治、河渠连通等集中整治，建设生态河塘，提高农村地区水源调配能力、防灾减灾能力、河湖保护能力，持续推进农村河道综合治理，改善农村生活环境和河流生态</w:t>
                  </w:r>
                  <w:r>
                    <w:rPr>
                      <w:color w:val="auto"/>
                      <w:kern w:val="0"/>
                      <w:szCs w:val="21"/>
                    </w:rPr>
                    <w:t>。</w:t>
                  </w:r>
                </w:p>
              </w:tc>
              <w:tc>
                <w:tcPr>
                  <w:tcW w:w="1715" w:type="pct"/>
                  <w:vMerge w:val="restart"/>
                  <w:vAlign w:val="center"/>
                </w:tcPr>
                <w:p>
                  <w:pPr>
                    <w:jc w:val="left"/>
                    <w:rPr>
                      <w:rFonts w:hint="eastAsia" w:eastAsia="宋体"/>
                      <w:color w:val="auto"/>
                      <w:kern w:val="0"/>
                      <w:szCs w:val="21"/>
                      <w:lang w:eastAsia="zh-CN"/>
                    </w:rPr>
                  </w:pPr>
                  <w:r>
                    <w:rPr>
                      <w:color w:val="auto"/>
                      <w:kern w:val="0"/>
                      <w:szCs w:val="21"/>
                    </w:rPr>
                    <w:t>本项目为防洪治理工程，</w:t>
                  </w:r>
                  <w:r>
                    <w:rPr>
                      <w:rFonts w:hint="eastAsia"/>
                      <w:color w:val="auto"/>
                      <w:kern w:val="0"/>
                      <w:szCs w:val="21"/>
                      <w:lang w:val="en-US" w:eastAsia="zh-CN"/>
                    </w:rPr>
                    <w:t>包括疏浚河道3670m（含堤防建设区1630m；其中涉及保护区的1830m不予实施），</w:t>
                  </w:r>
                  <w:r>
                    <w:rPr>
                      <w:color w:val="auto"/>
                      <w:kern w:val="0"/>
                      <w:szCs w:val="21"/>
                    </w:rPr>
                    <w:t>通过河道疏浚可恢复河道行洪断面，提高河道泄洪能力，归顺水流，使得河势趋于稳定，一定程度改善项目区河流生态环境</w:t>
                  </w:r>
                  <w:r>
                    <w:rPr>
                      <w:rFonts w:hint="eastAsia"/>
                      <w:color w:val="auto"/>
                      <w:kern w:val="0"/>
                      <w:szCs w:val="21"/>
                      <w:lang w:eastAsia="zh-CN"/>
                    </w:rPr>
                    <w:t>。</w:t>
                  </w:r>
                </w:p>
                <w:p>
                  <w:pPr>
                    <w:jc w:val="left"/>
                    <w:rPr>
                      <w:rFonts w:hint="default" w:eastAsia="宋体"/>
                      <w:color w:val="auto"/>
                      <w:kern w:val="0"/>
                      <w:szCs w:val="21"/>
                      <w:lang w:val="en-US" w:eastAsia="zh-CN"/>
                    </w:rPr>
                  </w:pPr>
                  <w:r>
                    <w:rPr>
                      <w:rFonts w:hint="eastAsia"/>
                      <w:color w:val="auto"/>
                      <w:kern w:val="0"/>
                      <w:szCs w:val="21"/>
                      <w:lang w:val="en-US" w:eastAsia="zh-CN"/>
                    </w:rPr>
                    <w:t>本项目不涉及侵占和破坏自然湿地，涉及湿地保护区的疏浚工程不予实施。</w:t>
                  </w:r>
                </w:p>
              </w:tc>
              <w:tc>
                <w:tcPr>
                  <w:tcW w:w="525"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6"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2" w:type="pct"/>
                  <w:vAlign w:val="center"/>
                </w:tcPr>
                <w:p>
                  <w:pPr>
                    <w:jc w:val="left"/>
                    <w:rPr>
                      <w:rFonts w:hint="eastAsia"/>
                      <w:color w:val="auto"/>
                      <w:kern w:val="0"/>
                      <w:szCs w:val="21"/>
                      <w:lang w:val="en-US" w:eastAsia="zh-CN"/>
                    </w:rPr>
                  </w:pPr>
                  <w:r>
                    <w:rPr>
                      <w:rFonts w:hint="eastAsia"/>
                      <w:color w:val="auto"/>
                      <w:kern w:val="0"/>
                      <w:szCs w:val="21"/>
                      <w:lang w:val="en-US" w:eastAsia="zh-CN"/>
                    </w:rPr>
                    <w:t>（二十七）保护水和湿地生态系统</w:t>
                  </w:r>
                </w:p>
                <w:p>
                  <w:pPr>
                    <w:jc w:val="left"/>
                    <w:rPr>
                      <w:rFonts w:hint="default"/>
                      <w:color w:val="auto"/>
                      <w:kern w:val="0"/>
                      <w:szCs w:val="21"/>
                      <w:lang w:val="en-US" w:eastAsia="zh-CN"/>
                    </w:rPr>
                  </w:pPr>
                  <w:r>
                    <w:rPr>
                      <w:rFonts w:hint="eastAsia"/>
                      <w:color w:val="auto"/>
                      <w:kern w:val="0"/>
                      <w:szCs w:val="21"/>
                      <w:lang w:val="en-US" w:eastAsia="zh-CN"/>
                    </w:rPr>
                    <w:t>74.禁止侵占和破坏自然湿地等水源涵养空间。强化湿地生态系统保护，严格执行《四川省湿地保护红线》，禁止侵占和破坏自然湿地。</w:t>
                  </w:r>
                </w:p>
              </w:tc>
              <w:tc>
                <w:tcPr>
                  <w:tcW w:w="1715" w:type="pct"/>
                  <w:vMerge w:val="continue"/>
                  <w:vAlign w:val="center"/>
                </w:tcPr>
                <w:p>
                  <w:pPr>
                    <w:jc w:val="left"/>
                    <w:rPr>
                      <w:color w:val="auto"/>
                      <w:kern w:val="0"/>
                      <w:szCs w:val="21"/>
                    </w:rPr>
                  </w:pPr>
                </w:p>
              </w:tc>
              <w:tc>
                <w:tcPr>
                  <w:tcW w:w="525" w:type="pct"/>
                  <w:vAlign w:val="center"/>
                </w:tcPr>
                <w:p>
                  <w:pPr>
                    <w:jc w:val="center"/>
                    <w:rPr>
                      <w:color w:val="auto"/>
                      <w:kern w:val="0"/>
                      <w:szCs w:val="21"/>
                    </w:rPr>
                  </w:pPr>
                  <w:r>
                    <w:rPr>
                      <w:color w:val="auto"/>
                      <w:kern w:val="0"/>
                      <w:szCs w:val="21"/>
                    </w:rPr>
                    <w:t>符合</w:t>
                  </w:r>
                </w:p>
              </w:tc>
            </w:tr>
          </w:tbl>
          <w:p>
            <w:pPr>
              <w:numPr>
                <w:ilvl w:val="0"/>
                <w:numId w:val="0"/>
              </w:numPr>
              <w:adjustRightInd w:val="0"/>
              <w:snapToGrid w:val="0"/>
              <w:spacing w:line="360" w:lineRule="auto"/>
              <w:rPr>
                <w:rFonts w:hint="eastAsia"/>
                <w:b/>
                <w:bCs/>
                <w:color w:val="auto"/>
                <w:sz w:val="24"/>
                <w:lang w:val="en-US" w:eastAsia="zh-CN" w:bidi="zh-TW"/>
              </w:rPr>
            </w:pPr>
            <w:r>
              <w:rPr>
                <w:rFonts w:hint="eastAsia" w:cs="Times New Roman"/>
                <w:b/>
                <w:bCs/>
                <w:color w:val="auto"/>
                <w:kern w:val="2"/>
                <w:sz w:val="24"/>
                <w:szCs w:val="24"/>
                <w:lang w:val="en-US" w:eastAsia="zh-CN" w:bidi="zh-TW"/>
              </w:rPr>
              <w:t>十</w:t>
            </w:r>
            <w:r>
              <w:rPr>
                <w:rFonts w:hint="eastAsia" w:ascii="Times New Roman" w:hAnsi="Times New Roman" w:eastAsia="宋体" w:cs="Times New Roman"/>
                <w:b/>
                <w:bCs/>
                <w:color w:val="auto"/>
                <w:kern w:val="2"/>
                <w:sz w:val="24"/>
                <w:szCs w:val="24"/>
                <w:lang w:val="en-US" w:eastAsia="zh-CN" w:bidi="zh-TW"/>
              </w:rPr>
              <w:t>、</w:t>
            </w:r>
            <w:r>
              <w:rPr>
                <w:rFonts w:hint="eastAsia"/>
                <w:b/>
                <w:bCs/>
                <w:color w:val="auto"/>
                <w:sz w:val="24"/>
                <w:lang w:val="en-US" w:eastAsia="zh-CN" w:bidi="zh-TW"/>
              </w:rPr>
              <w:t>项目与《水利建设项目（河湖整治与防洪除涝工程）环境评价文件审批原则》（试行）符合性分析</w:t>
            </w:r>
          </w:p>
          <w:p>
            <w:pPr>
              <w:autoSpaceDE w:val="0"/>
              <w:autoSpaceDN w:val="0"/>
              <w:adjustRightInd w:val="0"/>
              <w:snapToGrid w:val="0"/>
              <w:spacing w:line="360" w:lineRule="auto"/>
              <w:ind w:firstLine="480" w:firstLineChars="200"/>
              <w:rPr>
                <w:color w:val="auto"/>
                <w:kern w:val="0"/>
                <w:sz w:val="24"/>
              </w:rPr>
            </w:pPr>
            <w:r>
              <w:rPr>
                <w:color w:val="auto"/>
                <w:kern w:val="0"/>
                <w:sz w:val="24"/>
              </w:rPr>
              <w:t>本项目与</w:t>
            </w:r>
            <w:r>
              <w:rPr>
                <w:rFonts w:hint="eastAsia"/>
                <w:color w:val="auto"/>
                <w:kern w:val="0"/>
                <w:sz w:val="24"/>
                <w:lang w:val="en-US" w:eastAsia="zh-CN"/>
              </w:rPr>
              <w:t>《水利建设项目（河湖整治与防洪除涝工程）环境应评价文件审批原则》（试行）</w:t>
            </w:r>
            <w:r>
              <w:rPr>
                <w:color w:val="auto"/>
                <w:kern w:val="0"/>
                <w:sz w:val="24"/>
              </w:rPr>
              <w:t>符合性分析如下。</w:t>
            </w:r>
          </w:p>
          <w:p>
            <w:pPr>
              <w:pStyle w:val="63"/>
              <w:keepNext/>
              <w:numPr>
                <w:ilvl w:val="0"/>
                <w:numId w:val="5"/>
              </w:numPr>
              <w:rPr>
                <w:b/>
                <w:color w:val="auto"/>
                <w:szCs w:val="21"/>
              </w:rPr>
            </w:pPr>
            <w:r>
              <w:rPr>
                <w:b/>
                <w:color w:val="auto"/>
                <w:szCs w:val="21"/>
              </w:rPr>
              <w:t>本项目与</w:t>
            </w:r>
            <w:r>
              <w:rPr>
                <w:rFonts w:hint="eastAsia"/>
                <w:b/>
                <w:color w:val="auto"/>
                <w:szCs w:val="21"/>
                <w:lang w:val="en-US" w:eastAsia="zh-CN"/>
              </w:rPr>
              <w:t>《水利建设项目（河湖整治与防洪除涝工程）环境应评价文件审批原则》（试行）</w:t>
            </w:r>
            <w:r>
              <w:rPr>
                <w:b/>
                <w:color w:val="auto"/>
                <w:szCs w:val="21"/>
              </w:rPr>
              <w:t>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4091"/>
              <w:gridCol w:w="3132"/>
              <w:gridCol w:w="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0" w:hRule="atLeast"/>
                <w:jc w:val="center"/>
              </w:trPr>
              <w:tc>
                <w:tcPr>
                  <w:tcW w:w="518" w:type="pct"/>
                  <w:vAlign w:val="center"/>
                </w:tcPr>
                <w:p>
                  <w:pPr>
                    <w:widowControl/>
                    <w:jc w:val="center"/>
                    <w:rPr>
                      <w:b/>
                      <w:bCs/>
                      <w:color w:val="auto"/>
                      <w:kern w:val="0"/>
                      <w:szCs w:val="21"/>
                    </w:rPr>
                  </w:pPr>
                  <w:r>
                    <w:rPr>
                      <w:b/>
                      <w:bCs/>
                      <w:color w:val="auto"/>
                      <w:kern w:val="0"/>
                      <w:szCs w:val="21"/>
                    </w:rPr>
                    <w:t>文件</w:t>
                  </w:r>
                </w:p>
              </w:tc>
              <w:tc>
                <w:tcPr>
                  <w:tcW w:w="2240" w:type="pct"/>
                  <w:vAlign w:val="center"/>
                </w:tcPr>
                <w:p>
                  <w:pPr>
                    <w:widowControl/>
                    <w:jc w:val="center"/>
                    <w:rPr>
                      <w:b/>
                      <w:bCs/>
                      <w:color w:val="auto"/>
                      <w:kern w:val="0"/>
                      <w:szCs w:val="21"/>
                    </w:rPr>
                  </w:pPr>
                  <w:r>
                    <w:rPr>
                      <w:b/>
                      <w:bCs/>
                      <w:color w:val="auto"/>
                      <w:kern w:val="0"/>
                      <w:szCs w:val="21"/>
                    </w:rPr>
                    <w:t>内容</w:t>
                  </w:r>
                </w:p>
              </w:tc>
              <w:tc>
                <w:tcPr>
                  <w:tcW w:w="1715" w:type="pct"/>
                  <w:vAlign w:val="center"/>
                </w:tcPr>
                <w:p>
                  <w:pPr>
                    <w:widowControl/>
                    <w:jc w:val="center"/>
                    <w:rPr>
                      <w:b/>
                      <w:bCs/>
                      <w:color w:val="auto"/>
                      <w:kern w:val="0"/>
                      <w:szCs w:val="21"/>
                    </w:rPr>
                  </w:pPr>
                  <w:r>
                    <w:rPr>
                      <w:b/>
                      <w:bCs/>
                      <w:color w:val="auto"/>
                      <w:kern w:val="0"/>
                      <w:szCs w:val="21"/>
                    </w:rPr>
                    <w:t>本项目</w:t>
                  </w:r>
                </w:p>
              </w:tc>
              <w:tc>
                <w:tcPr>
                  <w:tcW w:w="525" w:type="pct"/>
                  <w:vAlign w:val="center"/>
                </w:tcPr>
                <w:p>
                  <w:pPr>
                    <w:widowControl/>
                    <w:jc w:val="center"/>
                    <w:rPr>
                      <w:b/>
                      <w:bCs/>
                      <w:color w:val="auto"/>
                      <w:kern w:val="0"/>
                      <w:szCs w:val="21"/>
                    </w:rPr>
                  </w:pPr>
                  <w:r>
                    <w:rPr>
                      <w:b/>
                      <w:bCs/>
                      <w:color w:val="auto"/>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restart"/>
                  <w:vAlign w:val="center"/>
                </w:tcPr>
                <w:p>
                  <w:pPr>
                    <w:pStyle w:val="83"/>
                    <w:widowControl/>
                    <w:spacing w:line="240" w:lineRule="auto"/>
                    <w:ind w:firstLine="0" w:firstLineChars="0"/>
                    <w:jc w:val="center"/>
                    <w:rPr>
                      <w:rFonts w:eastAsia="宋体"/>
                      <w:color w:val="auto"/>
                      <w:sz w:val="21"/>
                    </w:rPr>
                  </w:pPr>
                  <w:r>
                    <w:rPr>
                      <w:rFonts w:hint="eastAsia" w:eastAsia="宋体"/>
                      <w:color w:val="auto"/>
                      <w:sz w:val="21"/>
                      <w:lang w:val="en-US" w:eastAsia="zh-CN"/>
                    </w:rPr>
                    <w:t>《水利建设项目（河湖整治与防洪除涝工程）环境应评价文件审批原则》（试行）</w:t>
                  </w:r>
                </w:p>
              </w:tc>
              <w:tc>
                <w:tcPr>
                  <w:tcW w:w="2240" w:type="pct"/>
                  <w:vAlign w:val="center"/>
                </w:tcPr>
                <w:p>
                  <w:pPr>
                    <w:jc w:val="left"/>
                    <w:rPr>
                      <w:color w:val="auto"/>
                      <w:kern w:val="0"/>
                      <w:szCs w:val="21"/>
                    </w:rPr>
                  </w:pPr>
                  <w:r>
                    <w:rPr>
                      <w:color w:val="auto"/>
                      <w:kern w:val="0"/>
                      <w:szCs w:val="21"/>
                    </w:rPr>
                    <w:t>第一条</w:t>
                  </w:r>
                  <w:r>
                    <w:rPr>
                      <w:rFonts w:hint="eastAsia"/>
                      <w:color w:val="auto"/>
                      <w:kern w:val="0"/>
                      <w:szCs w:val="21"/>
                      <w:lang w:val="en-US" w:eastAsia="zh-CN"/>
                    </w:rPr>
                    <w:t xml:space="preserve"> </w:t>
                  </w:r>
                  <w:r>
                    <w:rPr>
                      <w:color w:val="auto"/>
                      <w:kern w:val="0"/>
                      <w:szCs w:val="21"/>
                    </w:rPr>
                    <w:t>本原则适用于河湖整治与防洪除涝工程环境影响评价文件的审批，工程建设内容包括疏浚、堤防建设、闸坝闸站建设、岸线治理、水系连通、蓄（滞）洪区建设、排涝治理等（引调水、防洪水库等水利枢纽工程除外）。其他类似工程可参照执行。</w:t>
                  </w:r>
                </w:p>
              </w:tc>
              <w:tc>
                <w:tcPr>
                  <w:tcW w:w="1715" w:type="pct"/>
                  <w:vAlign w:val="center"/>
                </w:tcPr>
                <w:p>
                  <w:pPr>
                    <w:jc w:val="left"/>
                    <w:rPr>
                      <w:color w:val="auto"/>
                      <w:kern w:val="0"/>
                      <w:szCs w:val="21"/>
                    </w:rPr>
                  </w:pPr>
                  <w:r>
                    <w:rPr>
                      <w:color w:val="auto"/>
                      <w:kern w:val="0"/>
                      <w:szCs w:val="21"/>
                    </w:rPr>
                    <w:t>本项目为防洪治理工程，</w:t>
                  </w:r>
                  <w:r>
                    <w:rPr>
                      <w:rFonts w:hint="eastAsia"/>
                      <w:color w:val="auto"/>
                      <w:kern w:val="0"/>
                      <w:szCs w:val="21"/>
                      <w:lang w:val="en-US" w:eastAsia="zh-CN"/>
                    </w:rPr>
                    <w:t>适用本原则</w:t>
                  </w:r>
                  <w:r>
                    <w:rPr>
                      <w:color w:val="auto"/>
                      <w:kern w:val="0"/>
                      <w:szCs w:val="21"/>
                    </w:rPr>
                    <w:t>。</w:t>
                  </w:r>
                </w:p>
              </w:tc>
              <w:tc>
                <w:tcPr>
                  <w:tcW w:w="525" w:type="pct"/>
                  <w:vAlign w:val="center"/>
                </w:tcPr>
                <w:p>
                  <w:pPr>
                    <w:jc w:val="center"/>
                    <w:rPr>
                      <w:color w:val="auto"/>
                      <w:kern w:val="0"/>
                      <w:szCs w:val="21"/>
                    </w:rPr>
                  </w:pPr>
                  <w:r>
                    <w:rPr>
                      <w:color w:val="auto"/>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ascii="Times New Roman" w:hAnsi="Times New Roman" w:eastAsia="宋体" w:cs="Times New Roman"/>
                      <w:color w:val="auto"/>
                      <w:kern w:val="0"/>
                      <w:sz w:val="21"/>
                      <w:szCs w:val="21"/>
                      <w:lang w:val="en-US" w:eastAsia="zh-CN" w:bidi="ar-SA"/>
                    </w:rPr>
                  </w:pPr>
                  <w:r>
                    <w:rPr>
                      <w:color w:val="auto"/>
                      <w:kern w:val="0"/>
                      <w:szCs w:val="21"/>
                    </w:rPr>
                    <w:t>第二条</w:t>
                  </w:r>
                  <w:r>
                    <w:rPr>
                      <w:rFonts w:hint="eastAsia"/>
                      <w:color w:val="auto"/>
                      <w:kern w:val="0"/>
                      <w:szCs w:val="21"/>
                      <w:lang w:val="en-US" w:eastAsia="zh-CN"/>
                    </w:rPr>
                    <w:t xml:space="preserve"> </w:t>
                  </w:r>
                  <w:r>
                    <w:rPr>
                      <w:color w:val="auto"/>
                      <w:kern w:val="0"/>
                      <w:szCs w:val="21"/>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本项目符合《嘉陵江流域综合规划》，项目不涉及</w:t>
                  </w:r>
                  <w:r>
                    <w:rPr>
                      <w:color w:val="auto"/>
                      <w:kern w:val="0"/>
                      <w:szCs w:val="21"/>
                    </w:rPr>
                    <w:t>岸线调整（治导线变化）、裁弯取直、围垦水面</w:t>
                  </w:r>
                  <w:r>
                    <w:rPr>
                      <w:rFonts w:hint="eastAsia"/>
                      <w:color w:val="auto"/>
                      <w:kern w:val="0"/>
                      <w:szCs w:val="21"/>
                      <w:lang w:eastAsia="zh-CN"/>
                    </w:rPr>
                    <w:t>，</w:t>
                  </w:r>
                  <w:r>
                    <w:rPr>
                      <w:rFonts w:hint="eastAsia"/>
                      <w:color w:val="auto"/>
                      <w:kern w:val="0"/>
                      <w:szCs w:val="21"/>
                      <w:lang w:val="en-US" w:eastAsia="zh-CN"/>
                    </w:rPr>
                    <w:t>部分堤防建设在河滩地上，设计论证可行，能够维护河湖健康、生态系统功能和生物多样性。</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ascii="Times New Roman" w:hAnsi="Times New Roman" w:eastAsia="宋体" w:cs="Times New Roman"/>
                      <w:color w:val="auto"/>
                      <w:kern w:val="0"/>
                      <w:sz w:val="21"/>
                      <w:szCs w:val="21"/>
                      <w:lang w:val="en-US" w:eastAsia="zh-CN" w:bidi="ar-SA"/>
                    </w:rPr>
                  </w:pPr>
                  <w:r>
                    <w:rPr>
                      <w:color w:val="auto"/>
                      <w:kern w:val="0"/>
                      <w:szCs w:val="21"/>
                    </w:rPr>
                    <w:t>第三条</w:t>
                  </w:r>
                  <w:r>
                    <w:rPr>
                      <w:rFonts w:hint="eastAsia"/>
                      <w:color w:val="auto"/>
                      <w:kern w:val="0"/>
                      <w:szCs w:val="21"/>
                      <w:lang w:val="en-US" w:eastAsia="zh-CN"/>
                    </w:rPr>
                    <w:t xml:space="preserve"> </w:t>
                  </w:r>
                  <w:r>
                    <w:rPr>
                      <w:color w:val="auto"/>
                      <w:kern w:val="0"/>
                      <w:szCs w:val="21"/>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1715" w:type="pct"/>
                  <w:vAlign w:val="center"/>
                </w:tcPr>
                <w:p>
                  <w:pPr>
                    <w:jc w:val="left"/>
                    <w:rPr>
                      <w:color w:val="auto"/>
                      <w:kern w:val="0"/>
                      <w:szCs w:val="21"/>
                    </w:rPr>
                  </w:pPr>
                  <w:r>
                    <w:rPr>
                      <w:color w:val="auto"/>
                      <w:kern w:val="0"/>
                      <w:szCs w:val="21"/>
                    </w:rPr>
                    <w:t>本项目部分区域涉及生态保护红线边界，本项目属于防洪治理工程，是必须且无法避让、符合县级以上规划的防洪基础设施建设。</w:t>
                  </w:r>
                </w:p>
                <w:p>
                  <w:pPr>
                    <w:jc w:val="left"/>
                    <w:rPr>
                      <w:rFonts w:hint="eastAsia"/>
                      <w:color w:val="auto"/>
                      <w:kern w:val="0"/>
                      <w:szCs w:val="21"/>
                      <w:lang w:eastAsia="zh-CN"/>
                    </w:rPr>
                  </w:pPr>
                  <w:r>
                    <w:rPr>
                      <w:color w:val="auto"/>
                      <w:kern w:val="0"/>
                      <w:szCs w:val="21"/>
                    </w:rPr>
                    <w:t>本项目部分建设段</w:t>
                  </w:r>
                  <w:r>
                    <w:rPr>
                      <w:rFonts w:hint="eastAsia"/>
                      <w:color w:val="auto"/>
                      <w:kern w:val="0"/>
                      <w:szCs w:val="21"/>
                      <w:lang w:eastAsia="zh-CN"/>
                    </w:rPr>
                    <w:t>（</w:t>
                  </w:r>
                  <w:r>
                    <w:rPr>
                      <w:color w:val="auto"/>
                      <w:kern w:val="0"/>
                      <w:szCs w:val="21"/>
                    </w:rPr>
                    <w:t>2段防洪堤及1处围堰，清淤疏浚位于保护区以外</w:t>
                  </w:r>
                  <w:r>
                    <w:rPr>
                      <w:rFonts w:hint="eastAsia"/>
                      <w:color w:val="auto"/>
                      <w:kern w:val="0"/>
                      <w:szCs w:val="21"/>
                      <w:lang w:eastAsia="zh-CN"/>
                    </w:rPr>
                    <w:t>）</w:t>
                  </w:r>
                  <w:r>
                    <w:rPr>
                      <w:color w:val="auto"/>
                      <w:kern w:val="0"/>
                      <w:szCs w:val="21"/>
                    </w:rPr>
                    <w:t>，</w:t>
                  </w:r>
                  <w:r>
                    <w:rPr>
                      <w:rFonts w:hint="eastAsia"/>
                      <w:color w:val="auto"/>
                      <w:kern w:val="0"/>
                      <w:szCs w:val="21"/>
                      <w:lang w:eastAsia="zh-CN"/>
                    </w:rPr>
                    <w:t>不涉及核心区</w:t>
                  </w:r>
                  <w:r>
                    <w:rPr>
                      <w:color w:val="auto"/>
                      <w:kern w:val="0"/>
                      <w:szCs w:val="21"/>
                    </w:rPr>
                    <w:t>及缓冲区</w:t>
                  </w:r>
                  <w:r>
                    <w:rPr>
                      <w:rFonts w:hint="eastAsia"/>
                      <w:color w:val="auto"/>
                      <w:kern w:val="0"/>
                      <w:szCs w:val="21"/>
                      <w:lang w:eastAsia="zh-CN"/>
                    </w:rPr>
                    <w:t>。</w:t>
                  </w:r>
                </w:p>
                <w:p>
                  <w:pPr>
                    <w:jc w:val="left"/>
                    <w:rPr>
                      <w:rFonts w:hint="default" w:eastAsia="宋体"/>
                      <w:color w:val="auto"/>
                      <w:kern w:val="0"/>
                      <w:szCs w:val="21"/>
                      <w:lang w:val="en-US" w:eastAsia="zh-CN"/>
                    </w:rPr>
                  </w:pPr>
                  <w:r>
                    <w:rPr>
                      <w:rFonts w:hint="eastAsia"/>
                      <w:color w:val="auto"/>
                      <w:kern w:val="0"/>
                      <w:szCs w:val="21"/>
                      <w:lang w:val="en-US" w:eastAsia="zh-CN"/>
                    </w:rPr>
                    <w:t>本项目不涉及风景名胜区、</w:t>
                  </w:r>
                  <w:r>
                    <w:rPr>
                      <w:color w:val="auto"/>
                      <w:kern w:val="0"/>
                      <w:szCs w:val="21"/>
                    </w:rPr>
                    <w:t>世界文化和自然遗产地</w:t>
                  </w:r>
                  <w:r>
                    <w:rPr>
                      <w:rFonts w:hint="eastAsia"/>
                      <w:color w:val="auto"/>
                      <w:kern w:val="0"/>
                      <w:szCs w:val="21"/>
                      <w:lang w:val="en-US" w:eastAsia="zh-CN"/>
                    </w:rPr>
                    <w:t>以及饮用水水源保护区。</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numPr>
                      <w:ilvl w:val="0"/>
                      <w:numId w:val="0"/>
                    </w:numPr>
                    <w:jc w:val="left"/>
                    <w:rPr>
                      <w:rFonts w:hint="eastAsia"/>
                      <w:color w:val="auto"/>
                      <w:kern w:val="0"/>
                      <w:szCs w:val="21"/>
                      <w:lang w:eastAsia="zh-CN"/>
                    </w:rPr>
                  </w:pPr>
                  <w:r>
                    <w:rPr>
                      <w:rFonts w:hint="eastAsia" w:ascii="Times New Roman" w:hAnsi="Times New Roman" w:eastAsia="宋体" w:cs="Times New Roman"/>
                      <w:color w:val="auto"/>
                      <w:kern w:val="0"/>
                      <w:sz w:val="21"/>
                      <w:szCs w:val="21"/>
                      <w:lang w:val="en-US" w:eastAsia="zh-CN" w:bidi="ar-SA"/>
                    </w:rPr>
                    <w:t>第四条</w:t>
                  </w:r>
                  <w:r>
                    <w:rPr>
                      <w:rFonts w:hint="eastAsia" w:cs="Times New Roman"/>
                      <w:color w:val="auto"/>
                      <w:kern w:val="0"/>
                      <w:sz w:val="21"/>
                      <w:szCs w:val="21"/>
                      <w:lang w:val="en-US" w:eastAsia="zh-CN" w:bidi="ar-SA"/>
                    </w:rPr>
                    <w:t xml:space="preserve"> </w:t>
                  </w:r>
                  <w:r>
                    <w:rPr>
                      <w:color w:val="auto"/>
                      <w:kern w:val="0"/>
                      <w:szCs w:val="21"/>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r>
                    <w:rPr>
                      <w:rFonts w:hint="eastAsia"/>
                      <w:color w:val="auto"/>
                      <w:kern w:val="0"/>
                      <w:szCs w:val="21"/>
                      <w:lang w:eastAsia="zh-CN"/>
                    </w:rPr>
                    <w:t>。</w:t>
                  </w:r>
                </w:p>
                <w:p>
                  <w:pPr>
                    <w:numPr>
                      <w:ilvl w:val="0"/>
                      <w:numId w:val="0"/>
                    </w:numPr>
                    <w:jc w:val="left"/>
                    <w:rPr>
                      <w:rFonts w:ascii="Times New Roman" w:hAnsi="Times New Roman" w:eastAsia="宋体" w:cs="Times New Roman"/>
                      <w:color w:val="auto"/>
                      <w:kern w:val="0"/>
                      <w:sz w:val="21"/>
                      <w:szCs w:val="21"/>
                      <w:lang w:val="en-US" w:eastAsia="zh-CN" w:bidi="ar-SA"/>
                    </w:rPr>
                  </w:pPr>
                  <w:r>
                    <w:rPr>
                      <w:color w:val="auto"/>
                      <w:kern w:val="0"/>
                      <w:szCs w:val="21"/>
                    </w:rPr>
                    <w:t>在采取上述措施后，对水环境的不利影响能够得到缓解和控制，居民用水安全能够得到保障，相关区域不会出现显著的土壤潜育化、沼泽化、盐碱化等次生环境问题。</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本项目实施不会改变水动力条件或水文过程，在做好隔油沉淀池防渗后，不会对地下水环境产生影响。</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ascii="Times New Roman" w:hAnsi="Times New Roman" w:eastAsia="宋体" w:cs="Times New Roman"/>
                      <w:color w:val="auto"/>
                      <w:kern w:val="0"/>
                      <w:sz w:val="21"/>
                      <w:szCs w:val="21"/>
                      <w:lang w:val="en-US" w:eastAsia="zh-CN" w:bidi="ar-SA"/>
                    </w:rPr>
                  </w:pPr>
                  <w:r>
                    <w:rPr>
                      <w:color w:val="auto"/>
                      <w:kern w:val="0"/>
                      <w:szCs w:val="21"/>
                    </w:rPr>
                    <w:t>第五条</w:t>
                  </w:r>
                  <w:r>
                    <w:rPr>
                      <w:rFonts w:hint="eastAsia"/>
                      <w:color w:val="auto"/>
                      <w:kern w:val="0"/>
                      <w:szCs w:val="21"/>
                      <w:lang w:val="en-US" w:eastAsia="zh-CN"/>
                    </w:rPr>
                    <w:t xml:space="preserve"> </w:t>
                  </w:r>
                  <w:r>
                    <w:rPr>
                      <w:color w:val="auto"/>
                      <w:kern w:val="0"/>
                      <w:szCs w:val="21"/>
                    </w:rPr>
                    <w:t>项目对鱼类等水生生物的洄游通道及“三场”等重要生境、物种多样性及资源量等产生不利影响的，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1715" w:type="pct"/>
                  <w:vAlign w:val="center"/>
                </w:tcPr>
                <w:p>
                  <w:pPr>
                    <w:jc w:val="left"/>
                    <w:rPr>
                      <w:rFonts w:hint="eastAsia" w:eastAsia="宋体"/>
                      <w:color w:val="auto"/>
                      <w:kern w:val="0"/>
                      <w:szCs w:val="21"/>
                      <w:lang w:eastAsia="zh-CN"/>
                    </w:rPr>
                  </w:pPr>
                  <w:r>
                    <w:rPr>
                      <w:color w:val="auto"/>
                      <w:kern w:val="0"/>
                      <w:szCs w:val="21"/>
                    </w:rPr>
                    <w:t>本项目建设区域不涉及鱼类</w:t>
                  </w:r>
                  <w:r>
                    <w:rPr>
                      <w:rFonts w:hint="eastAsia"/>
                      <w:color w:val="auto"/>
                      <w:kern w:val="0"/>
                      <w:szCs w:val="21"/>
                      <w:lang w:eastAsia="zh-CN"/>
                    </w:rPr>
                    <w:t>“</w:t>
                  </w:r>
                  <w:r>
                    <w:rPr>
                      <w:color w:val="auto"/>
                      <w:kern w:val="0"/>
                      <w:szCs w:val="21"/>
                    </w:rPr>
                    <w:t>三场</w:t>
                  </w:r>
                  <w:r>
                    <w:rPr>
                      <w:rFonts w:hint="eastAsia"/>
                      <w:color w:val="auto"/>
                      <w:kern w:val="0"/>
                      <w:szCs w:val="21"/>
                      <w:lang w:eastAsia="zh-CN"/>
                    </w:rPr>
                    <w:t>”。</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color w:val="auto"/>
                      <w:kern w:val="0"/>
                      <w:szCs w:val="21"/>
                    </w:rPr>
                  </w:pPr>
                  <w:r>
                    <w:rPr>
                      <w:color w:val="auto"/>
                      <w:kern w:val="0"/>
                      <w:szCs w:val="21"/>
                    </w:rPr>
                    <w:t>第六条</w:t>
                  </w:r>
                  <w:r>
                    <w:rPr>
                      <w:rFonts w:hint="eastAsia"/>
                      <w:color w:val="auto"/>
                      <w:kern w:val="0"/>
                      <w:szCs w:val="21"/>
                      <w:lang w:val="en-US" w:eastAsia="zh-CN"/>
                    </w:rPr>
                    <w:t xml:space="preserve"> </w:t>
                  </w:r>
                  <w:r>
                    <w:rPr>
                      <w:color w:val="auto"/>
                      <w:kern w:val="0"/>
                      <w:szCs w:val="21"/>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p>
                  <w:pPr>
                    <w:jc w:val="left"/>
                    <w:rPr>
                      <w:rFonts w:ascii="Times New Roman" w:hAnsi="Times New Roman" w:eastAsia="宋体" w:cs="Times New Roman"/>
                      <w:color w:val="auto"/>
                      <w:kern w:val="0"/>
                      <w:sz w:val="21"/>
                      <w:szCs w:val="21"/>
                      <w:lang w:val="en-US" w:eastAsia="zh-CN" w:bidi="ar-SA"/>
                    </w:rPr>
                  </w:pPr>
                  <w:r>
                    <w:rPr>
                      <w:color w:val="auto"/>
                      <w:kern w:val="0"/>
                      <w:szCs w:val="21"/>
                    </w:rPr>
                    <w:t>在采取上述措施后，对湿地以及陆生动植物的不利影响能够得到缓解和控制，与区域景观相协调，不会造成原有珍稀濒危保护动植物在相关区域消失，不会对陆生生态系统造成重大不利影响。</w:t>
                  </w:r>
                </w:p>
              </w:tc>
              <w:tc>
                <w:tcPr>
                  <w:tcW w:w="1715" w:type="pct"/>
                  <w:vAlign w:val="center"/>
                </w:tcPr>
                <w:p>
                  <w:pPr>
                    <w:jc w:val="left"/>
                    <w:rPr>
                      <w:rFonts w:hint="default" w:eastAsia="宋体"/>
                      <w:color w:val="auto"/>
                      <w:kern w:val="0"/>
                      <w:szCs w:val="21"/>
                      <w:lang w:val="en-US" w:eastAsia="zh-CN"/>
                    </w:rPr>
                  </w:pPr>
                  <w:r>
                    <w:rPr>
                      <w:color w:val="auto"/>
                      <w:szCs w:val="21"/>
                    </w:rPr>
                    <w:t>本项目为防洪治理工程，本项目部分建设段</w:t>
                  </w:r>
                  <w:r>
                    <w:rPr>
                      <w:rFonts w:hint="eastAsia"/>
                      <w:color w:val="auto"/>
                      <w:szCs w:val="21"/>
                      <w:lang w:eastAsia="zh-CN"/>
                    </w:rPr>
                    <w:t>（</w:t>
                  </w:r>
                  <w:r>
                    <w:rPr>
                      <w:rFonts w:eastAsia="宋体"/>
                      <w:color w:val="auto"/>
                      <w:sz w:val="21"/>
                    </w:rPr>
                    <w:t>2段防洪堤及1处围堰，清淤疏浚位于保护区以外</w:t>
                  </w:r>
                  <w:r>
                    <w:rPr>
                      <w:rFonts w:hint="eastAsia"/>
                      <w:color w:val="auto"/>
                      <w:szCs w:val="21"/>
                      <w:lang w:eastAsia="zh-CN"/>
                    </w:rPr>
                    <w:t>）</w:t>
                  </w:r>
                  <w:r>
                    <w:rPr>
                      <w:color w:val="auto"/>
                      <w:szCs w:val="21"/>
                    </w:rPr>
                    <w:t>位于四川嘉陵江源市级湿地自然保护区实验区</w:t>
                  </w:r>
                  <w:r>
                    <w:rPr>
                      <w:rFonts w:hint="eastAsia"/>
                      <w:color w:val="auto"/>
                      <w:szCs w:val="21"/>
                      <w:lang w:eastAsia="zh-CN"/>
                    </w:rPr>
                    <w:t>，</w:t>
                  </w:r>
                  <w:r>
                    <w:rPr>
                      <w:rFonts w:hint="eastAsia"/>
                      <w:color w:val="auto"/>
                      <w:szCs w:val="21"/>
                      <w:lang w:val="en-US" w:eastAsia="zh-CN"/>
                    </w:rPr>
                    <w:t>不涉及核心区及缓冲区，项目设计文件中保护区内涉及清淤，已对其进行优化，不予实施；项目不涉及珍稀濒危保护植物、不涉及陆生珍稀濒危保护动物及其生境、不会对景观产生不利影响。</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numPr>
                      <w:ilvl w:val="0"/>
                      <w:numId w:val="0"/>
                    </w:numPr>
                    <w:ind w:leftChars="0"/>
                    <w:jc w:val="left"/>
                    <w:rPr>
                      <w:color w:val="auto"/>
                      <w:kern w:val="0"/>
                      <w:szCs w:val="21"/>
                    </w:rPr>
                  </w:pPr>
                  <w:r>
                    <w:rPr>
                      <w:rFonts w:hint="eastAsia"/>
                      <w:color w:val="auto"/>
                      <w:kern w:val="0"/>
                      <w:szCs w:val="21"/>
                      <w:lang w:val="en-US" w:eastAsia="zh-CN"/>
                    </w:rPr>
                    <w:t xml:space="preserve">第七条 </w:t>
                  </w:r>
                  <w:r>
                    <w:rPr>
                      <w:color w:val="auto"/>
                      <w:kern w:val="0"/>
                      <w:szCs w:val="21"/>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p>
                <w:p>
                  <w:pPr>
                    <w:numPr>
                      <w:ilvl w:val="0"/>
                      <w:numId w:val="0"/>
                    </w:numPr>
                    <w:ind w:leftChars="0"/>
                    <w:jc w:val="left"/>
                    <w:rPr>
                      <w:rFonts w:ascii="Times New Roman" w:hAnsi="Times New Roman" w:eastAsia="宋体" w:cs="Times New Roman"/>
                      <w:color w:val="auto"/>
                      <w:kern w:val="0"/>
                      <w:sz w:val="21"/>
                      <w:szCs w:val="21"/>
                      <w:lang w:val="en-US" w:eastAsia="zh-CN" w:bidi="ar-SA"/>
                    </w:rPr>
                  </w:pPr>
                  <w:r>
                    <w:rPr>
                      <w:color w:val="auto"/>
                      <w:kern w:val="0"/>
                      <w:szCs w:val="21"/>
                    </w:rPr>
                    <w:t>在采取上述措施后，施工期的不利环境影响能够得到缓解和控制，不会对周围环境和敏感保护目标造成重大不利影响。</w:t>
                  </w:r>
                </w:p>
              </w:tc>
              <w:tc>
                <w:tcPr>
                  <w:tcW w:w="1715" w:type="pct"/>
                  <w:vAlign w:val="center"/>
                </w:tcPr>
                <w:p>
                  <w:pPr>
                    <w:numPr>
                      <w:ilvl w:val="0"/>
                      <w:numId w:val="0"/>
                    </w:numPr>
                    <w:ind w:leftChars="0"/>
                    <w:jc w:val="left"/>
                    <w:rPr>
                      <w:rFonts w:hint="default" w:eastAsia="宋体"/>
                      <w:color w:val="auto"/>
                      <w:kern w:val="0"/>
                      <w:szCs w:val="21"/>
                      <w:lang w:val="en-US" w:eastAsia="zh-CN"/>
                    </w:rPr>
                  </w:pPr>
                  <w:r>
                    <w:rPr>
                      <w:rFonts w:hint="eastAsia"/>
                      <w:color w:val="auto"/>
                      <w:kern w:val="0"/>
                      <w:szCs w:val="21"/>
                      <w:lang w:val="en-US" w:eastAsia="zh-CN"/>
                    </w:rPr>
                    <w:t>本报告提出了相应水土保持措施，项目不涉及饮用用水水源保护区，</w:t>
                  </w:r>
                  <w:r>
                    <w:rPr>
                      <w:color w:val="auto"/>
                      <w:kern w:val="0"/>
                      <w:szCs w:val="21"/>
                    </w:rPr>
                    <w:t>涉水施工对鱼类等水生生物及其重要生境造成不利影响的，提出了施工方案优化、控制施工噪声等措施；针对清淤、疏浚等产生的淤泥，提出了符合相关规定的</w:t>
                  </w:r>
                  <w:r>
                    <w:rPr>
                      <w:rFonts w:hint="eastAsia"/>
                      <w:color w:val="auto"/>
                      <w:kern w:val="0"/>
                      <w:szCs w:val="21"/>
                      <w:lang w:val="en-US" w:eastAsia="zh-CN"/>
                    </w:rPr>
                    <w:t>脱水后</w:t>
                  </w:r>
                  <w:r>
                    <w:rPr>
                      <w:color w:val="auto"/>
                      <w:kern w:val="0"/>
                      <w:szCs w:val="21"/>
                    </w:rPr>
                    <w:t>综合利用方案。</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ascii="Times New Roman" w:hAnsi="Times New Roman" w:eastAsia="宋体" w:cs="Times New Roman"/>
                      <w:color w:val="auto"/>
                      <w:kern w:val="0"/>
                      <w:sz w:val="21"/>
                      <w:szCs w:val="21"/>
                      <w:lang w:val="en-US" w:eastAsia="zh-CN" w:bidi="ar-SA"/>
                    </w:rPr>
                  </w:pPr>
                  <w:r>
                    <w:rPr>
                      <w:color w:val="auto"/>
                      <w:kern w:val="0"/>
                      <w:szCs w:val="21"/>
                    </w:rPr>
                    <w:t>第八条</w:t>
                  </w:r>
                  <w:r>
                    <w:rPr>
                      <w:rFonts w:hint="eastAsia"/>
                      <w:color w:val="auto"/>
                      <w:kern w:val="0"/>
                      <w:szCs w:val="21"/>
                      <w:lang w:val="en-US" w:eastAsia="zh-CN"/>
                    </w:rPr>
                    <w:t xml:space="preserve"> </w:t>
                  </w:r>
                  <w:r>
                    <w:rPr>
                      <w:color w:val="auto"/>
                      <w:kern w:val="0"/>
                      <w:szCs w:val="21"/>
                    </w:rPr>
                    <w:t>项目移民安置的选址和建设方式具有环境合理性，提出了生态保护、污水处理、固体废物处置等措施。针对蓄滞洪区的环境污染、新增占地涉及污染场地等，提出了环境管理对策建议。</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本项目不涉及移民安置。</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ascii="Times New Roman" w:hAnsi="Times New Roman" w:eastAsia="宋体" w:cs="Times New Roman"/>
                      <w:color w:val="auto"/>
                      <w:kern w:val="0"/>
                      <w:sz w:val="21"/>
                      <w:szCs w:val="21"/>
                      <w:lang w:val="en-US" w:eastAsia="zh-CN" w:bidi="ar-SA"/>
                    </w:rPr>
                  </w:pPr>
                  <w:r>
                    <w:rPr>
                      <w:color w:val="auto"/>
                      <w:kern w:val="0"/>
                      <w:szCs w:val="21"/>
                    </w:rPr>
                    <w:t>第九条</w:t>
                  </w:r>
                  <w:r>
                    <w:rPr>
                      <w:rFonts w:hint="eastAsia"/>
                      <w:color w:val="auto"/>
                      <w:kern w:val="0"/>
                      <w:szCs w:val="21"/>
                      <w:lang w:val="en-US" w:eastAsia="zh-CN"/>
                    </w:rPr>
                    <w:t xml:space="preserve"> </w:t>
                  </w:r>
                  <w:r>
                    <w:rPr>
                      <w:color w:val="auto"/>
                      <w:kern w:val="0"/>
                      <w:szCs w:val="21"/>
                    </w:rPr>
                    <w:t>项目存在河湖水质污染、富营养化或外来物种入侵等环境风险的，提出了针对性的风险防范措施以及环境应急预案编制、建立必要的应急联动机制等要求。</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本项目不涉及河湖水质污染、富营养化或外来物种入侵等环境风险，对施工期隔油沉淀池破损泄漏、暴雨及洪水等环境风险提出了防范措施。</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ascii="Times New Roman" w:hAnsi="Times New Roman" w:eastAsia="宋体" w:cs="Times New Roman"/>
                      <w:color w:val="auto"/>
                      <w:kern w:val="0"/>
                      <w:sz w:val="21"/>
                      <w:szCs w:val="21"/>
                      <w:lang w:val="en-US" w:eastAsia="zh-CN" w:bidi="ar-SA"/>
                    </w:rPr>
                  </w:pPr>
                  <w:r>
                    <w:rPr>
                      <w:color w:val="auto"/>
                      <w:kern w:val="0"/>
                      <w:szCs w:val="21"/>
                    </w:rPr>
                    <w:t>第十条</w:t>
                  </w:r>
                  <w:r>
                    <w:rPr>
                      <w:rFonts w:hint="eastAsia"/>
                      <w:color w:val="auto"/>
                      <w:kern w:val="0"/>
                      <w:szCs w:val="21"/>
                      <w:lang w:val="en-US" w:eastAsia="zh-CN"/>
                    </w:rPr>
                    <w:t xml:space="preserve"> </w:t>
                  </w:r>
                  <w:r>
                    <w:rPr>
                      <w:color w:val="auto"/>
                      <w:kern w:val="0"/>
                      <w:szCs w:val="21"/>
                    </w:rPr>
                    <w:t>改、扩建项目在全面梳理了与项目有关的现有工程环境问题基础上，提出了与项目相适应的“以新带老”措施。</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本项目为新建项目。</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ascii="Times New Roman" w:hAnsi="Times New Roman" w:eastAsia="宋体" w:cs="Times New Roman"/>
                      <w:color w:val="auto"/>
                      <w:kern w:val="0"/>
                      <w:sz w:val="21"/>
                      <w:szCs w:val="21"/>
                      <w:lang w:val="en-US" w:eastAsia="zh-CN" w:bidi="ar-SA"/>
                    </w:rPr>
                  </w:pPr>
                  <w:r>
                    <w:rPr>
                      <w:color w:val="auto"/>
                      <w:kern w:val="0"/>
                      <w:szCs w:val="21"/>
                    </w:rPr>
                    <w:t>第十一条</w:t>
                  </w:r>
                  <w:r>
                    <w:rPr>
                      <w:rFonts w:hint="eastAsia"/>
                      <w:color w:val="auto"/>
                      <w:kern w:val="0"/>
                      <w:szCs w:val="21"/>
                      <w:lang w:val="en-US" w:eastAsia="zh-CN"/>
                    </w:rPr>
                    <w:t xml:space="preserve"> </w:t>
                  </w:r>
                  <w:r>
                    <w:rPr>
                      <w:color w:val="auto"/>
                      <w:kern w:val="0"/>
                      <w:szCs w:val="21"/>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本项目已按相关导则及规定制定了环境监测计划。</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color w:val="auto"/>
                      <w:kern w:val="0"/>
                      <w:szCs w:val="21"/>
                    </w:rPr>
                  </w:pPr>
                  <w:r>
                    <w:rPr>
                      <w:color w:val="auto"/>
                      <w:kern w:val="0"/>
                      <w:szCs w:val="21"/>
                    </w:rPr>
                    <w:t>第十二条</w:t>
                  </w:r>
                  <w:r>
                    <w:rPr>
                      <w:rFonts w:hint="eastAsia"/>
                      <w:color w:val="auto"/>
                      <w:kern w:val="0"/>
                      <w:szCs w:val="21"/>
                      <w:lang w:val="en-US" w:eastAsia="zh-CN"/>
                    </w:rPr>
                    <w:t xml:space="preserve"> </w:t>
                  </w:r>
                  <w:r>
                    <w:rPr>
                      <w:color w:val="auto"/>
                      <w:kern w:val="0"/>
                      <w:szCs w:val="21"/>
                    </w:rPr>
                    <w:t>对环境保护措施进行了深入论证，建设单位主体责任、投资估算、时间节点、预期效果明确，确保科学有效、安全可行、绿色协调。</w:t>
                  </w:r>
                </w:p>
              </w:tc>
              <w:tc>
                <w:tcPr>
                  <w:tcW w:w="1715" w:type="pct"/>
                  <w:vAlign w:val="center"/>
                </w:tcPr>
                <w:p>
                  <w:pPr>
                    <w:jc w:val="left"/>
                    <w:rPr>
                      <w:rFonts w:hint="eastAsia" w:eastAsia="宋体"/>
                      <w:color w:val="auto"/>
                      <w:kern w:val="0"/>
                      <w:szCs w:val="21"/>
                      <w:lang w:val="en-US" w:eastAsia="zh-CN"/>
                    </w:rPr>
                  </w:pPr>
                  <w:r>
                    <w:rPr>
                      <w:rFonts w:hint="eastAsia"/>
                      <w:color w:val="auto"/>
                      <w:kern w:val="0"/>
                      <w:szCs w:val="21"/>
                      <w:lang w:val="en-US" w:eastAsia="zh-CN"/>
                    </w:rPr>
                    <w:t>本次评价深入论证了环境保护措施，明确了建设</w:t>
                  </w:r>
                  <w:r>
                    <w:rPr>
                      <w:color w:val="auto"/>
                      <w:kern w:val="0"/>
                      <w:szCs w:val="21"/>
                    </w:rPr>
                    <w:t>单位主体责任、投资估算、时间节点、预期效果</w:t>
                  </w:r>
                  <w:r>
                    <w:rPr>
                      <w:rFonts w:hint="eastAsia"/>
                      <w:color w:val="auto"/>
                      <w:kern w:val="0"/>
                      <w:szCs w:val="21"/>
                      <w:lang w:eastAsia="zh-CN"/>
                    </w:rPr>
                    <w:t>，</w:t>
                  </w:r>
                  <w:r>
                    <w:rPr>
                      <w:color w:val="auto"/>
                      <w:kern w:val="0"/>
                      <w:szCs w:val="21"/>
                    </w:rPr>
                    <w:t>确保科学有效、安全可行、绿色协调。</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color w:val="auto"/>
                      <w:kern w:val="0"/>
                      <w:szCs w:val="21"/>
                    </w:rPr>
                  </w:pPr>
                  <w:r>
                    <w:rPr>
                      <w:color w:val="auto"/>
                      <w:kern w:val="0"/>
                      <w:szCs w:val="21"/>
                    </w:rPr>
                    <w:t>第十三条</w:t>
                  </w:r>
                  <w:r>
                    <w:rPr>
                      <w:rFonts w:hint="eastAsia"/>
                      <w:color w:val="auto"/>
                      <w:kern w:val="0"/>
                      <w:szCs w:val="21"/>
                      <w:lang w:val="en-US" w:eastAsia="zh-CN"/>
                    </w:rPr>
                    <w:t xml:space="preserve"> </w:t>
                  </w:r>
                  <w:r>
                    <w:rPr>
                      <w:color w:val="auto"/>
                      <w:kern w:val="0"/>
                      <w:szCs w:val="21"/>
                    </w:rPr>
                    <w:t>按相关规定开展了信息公开和公众参与。</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本项目按规定编制环境影响报告表，无需开展公众参与调查。</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18" w:type="pct"/>
                  <w:vMerge w:val="continue"/>
                  <w:vAlign w:val="center"/>
                </w:tcPr>
                <w:p>
                  <w:pPr>
                    <w:pStyle w:val="83"/>
                    <w:widowControl/>
                    <w:spacing w:line="240" w:lineRule="auto"/>
                    <w:ind w:firstLine="0" w:firstLineChars="0"/>
                    <w:jc w:val="center"/>
                    <w:rPr>
                      <w:rFonts w:hint="eastAsia" w:eastAsia="宋体"/>
                      <w:color w:val="auto"/>
                      <w:sz w:val="21"/>
                      <w:lang w:val="en-US" w:eastAsia="zh-CN"/>
                    </w:rPr>
                  </w:pPr>
                </w:p>
              </w:tc>
              <w:tc>
                <w:tcPr>
                  <w:tcW w:w="2240" w:type="pct"/>
                  <w:vAlign w:val="center"/>
                </w:tcPr>
                <w:p>
                  <w:pPr>
                    <w:jc w:val="left"/>
                    <w:rPr>
                      <w:rFonts w:hint="eastAsia" w:eastAsia="宋体"/>
                      <w:color w:val="auto"/>
                      <w:kern w:val="0"/>
                      <w:szCs w:val="21"/>
                      <w:lang w:eastAsia="zh-CN"/>
                    </w:rPr>
                  </w:pPr>
                  <w:r>
                    <w:rPr>
                      <w:color w:val="auto"/>
                      <w:kern w:val="0"/>
                      <w:szCs w:val="21"/>
                    </w:rPr>
                    <w:t>第十四条</w:t>
                  </w:r>
                  <w:r>
                    <w:rPr>
                      <w:rFonts w:hint="eastAsia"/>
                      <w:color w:val="auto"/>
                      <w:kern w:val="0"/>
                      <w:szCs w:val="21"/>
                      <w:lang w:val="en-US" w:eastAsia="zh-CN"/>
                    </w:rPr>
                    <w:t xml:space="preserve"> </w:t>
                  </w:r>
                  <w:r>
                    <w:rPr>
                      <w:color w:val="auto"/>
                      <w:kern w:val="0"/>
                      <w:szCs w:val="21"/>
                    </w:rPr>
                    <w:t>环境影响评价文件编制规范，符合相关管理规定和环评技术标准要求</w:t>
                  </w:r>
                  <w:r>
                    <w:rPr>
                      <w:rFonts w:hint="eastAsia"/>
                      <w:color w:val="auto"/>
                      <w:kern w:val="0"/>
                      <w:szCs w:val="21"/>
                      <w:lang w:eastAsia="zh-CN"/>
                    </w:rPr>
                    <w:t>。</w:t>
                  </w:r>
                </w:p>
              </w:tc>
              <w:tc>
                <w:tcPr>
                  <w:tcW w:w="1715" w:type="pct"/>
                  <w:vAlign w:val="center"/>
                </w:tcPr>
                <w:p>
                  <w:pPr>
                    <w:jc w:val="left"/>
                    <w:rPr>
                      <w:rFonts w:hint="default" w:eastAsia="宋体"/>
                      <w:color w:val="auto"/>
                      <w:kern w:val="0"/>
                      <w:szCs w:val="21"/>
                      <w:lang w:val="en-US" w:eastAsia="zh-CN"/>
                    </w:rPr>
                  </w:pPr>
                  <w:r>
                    <w:rPr>
                      <w:rFonts w:hint="eastAsia"/>
                      <w:color w:val="auto"/>
                      <w:kern w:val="0"/>
                      <w:szCs w:val="21"/>
                      <w:lang w:val="en-US" w:eastAsia="zh-CN"/>
                    </w:rPr>
                    <w:t>本报告编制规范，符合相关管理规定和环评技术标准要求。</w:t>
                  </w:r>
                </w:p>
              </w:tc>
              <w:tc>
                <w:tcPr>
                  <w:tcW w:w="525" w:type="pct"/>
                  <w:vAlign w:val="center"/>
                </w:tcPr>
                <w:p>
                  <w:pPr>
                    <w:jc w:val="center"/>
                    <w:rPr>
                      <w:rFonts w:hint="eastAsia" w:eastAsia="宋体"/>
                      <w:color w:val="auto"/>
                      <w:kern w:val="0"/>
                      <w:szCs w:val="21"/>
                      <w:lang w:val="en-US" w:eastAsia="zh-CN"/>
                    </w:rPr>
                  </w:pPr>
                  <w:r>
                    <w:rPr>
                      <w:rFonts w:hint="eastAsia"/>
                      <w:color w:val="auto"/>
                      <w:kern w:val="0"/>
                      <w:szCs w:val="21"/>
                      <w:lang w:val="en-US" w:eastAsia="zh-CN"/>
                    </w:rPr>
                    <w:t>符合</w:t>
                  </w:r>
                </w:p>
              </w:tc>
            </w:tr>
          </w:tbl>
          <w:p>
            <w:pPr>
              <w:adjustRightInd w:val="0"/>
              <w:snapToGrid w:val="0"/>
              <w:spacing w:line="360" w:lineRule="auto"/>
              <w:rPr>
                <w:b/>
                <w:bCs/>
                <w:color w:val="auto"/>
                <w:sz w:val="24"/>
                <w:lang w:bidi="zh-TW"/>
              </w:rPr>
            </w:pPr>
            <w:r>
              <w:rPr>
                <w:rFonts w:hint="eastAsia"/>
                <w:b/>
                <w:bCs/>
                <w:color w:val="auto"/>
                <w:sz w:val="24"/>
                <w:lang w:val="en-US" w:eastAsia="zh-CN" w:bidi="zh-TW"/>
              </w:rPr>
              <w:t>十一</w:t>
            </w:r>
            <w:r>
              <w:rPr>
                <w:b/>
                <w:bCs/>
                <w:color w:val="auto"/>
                <w:sz w:val="24"/>
                <w:lang w:bidi="zh-TW"/>
              </w:rPr>
              <w:t>、产业政策符合性分析</w:t>
            </w:r>
          </w:p>
          <w:p>
            <w:pPr>
              <w:widowControl/>
              <w:tabs>
                <w:tab w:val="left" w:pos="7472"/>
              </w:tabs>
              <w:adjustRightInd w:val="0"/>
              <w:spacing w:line="360" w:lineRule="auto"/>
              <w:ind w:firstLine="480" w:firstLineChars="200"/>
              <w:textAlignment w:val="baseline"/>
              <w:rPr>
                <w:bCs/>
                <w:color w:val="auto"/>
                <w:sz w:val="24"/>
              </w:rPr>
            </w:pPr>
            <w:r>
              <w:rPr>
                <w:bCs/>
                <w:color w:val="auto"/>
                <w:sz w:val="24"/>
              </w:rPr>
              <w:t>本项目为防洪治理项目，根据中华人民共和国国家发展和改革委员会第29号令《产业结构调整指导目录（2019年本）》及2021修改版的规定，本项目属于“鼓励类”中“二、水利类”中的第1条“江河湖海堤防建设及河道治理工程”，项目建设符合国家现行产业政策。</w:t>
            </w:r>
          </w:p>
          <w:p>
            <w:pPr>
              <w:widowControl/>
              <w:tabs>
                <w:tab w:val="left" w:pos="7472"/>
              </w:tabs>
              <w:adjustRightInd w:val="0"/>
              <w:spacing w:line="360" w:lineRule="auto"/>
              <w:ind w:firstLine="480" w:firstLineChars="200"/>
              <w:textAlignment w:val="baseline"/>
              <w:rPr>
                <w:bCs/>
                <w:color w:val="auto"/>
                <w:sz w:val="24"/>
              </w:rPr>
            </w:pPr>
            <w:r>
              <w:rPr>
                <w:bCs/>
                <w:color w:val="auto"/>
                <w:sz w:val="24"/>
              </w:rPr>
              <w:t>同时，建设单位已于2020年9月22日取得广元市朝天区发展和改革局出具的“关于《四川省朝天区广坪河羊木段防洪治理工程项目建议书》的批复”（广朝发改项目[2020]222号），同意该实施方案。</w:t>
            </w:r>
          </w:p>
          <w:p>
            <w:pPr>
              <w:widowControl/>
              <w:tabs>
                <w:tab w:val="left" w:pos="7472"/>
              </w:tabs>
              <w:adjustRightInd w:val="0"/>
              <w:spacing w:line="360" w:lineRule="auto"/>
              <w:ind w:firstLine="480" w:firstLineChars="200"/>
              <w:textAlignment w:val="baseline"/>
              <w:rPr>
                <w:bCs/>
                <w:color w:val="auto"/>
                <w:sz w:val="24"/>
              </w:rPr>
            </w:pPr>
            <w:r>
              <w:rPr>
                <w:bCs/>
                <w:color w:val="auto"/>
                <w:sz w:val="24"/>
              </w:rPr>
              <w:t>因此，本项目符合国家现行产业政策。</w:t>
            </w:r>
          </w:p>
          <w:p>
            <w:pPr>
              <w:widowControl/>
              <w:tabs>
                <w:tab w:val="left" w:pos="7472"/>
              </w:tabs>
              <w:adjustRightInd w:val="0"/>
              <w:spacing w:line="360" w:lineRule="auto"/>
              <w:textAlignment w:val="baseline"/>
              <w:rPr>
                <w:b/>
                <w:bCs/>
                <w:color w:val="auto"/>
                <w:kern w:val="24"/>
                <w:sz w:val="24"/>
              </w:rPr>
            </w:pPr>
            <w:r>
              <w:rPr>
                <w:rFonts w:hint="eastAsia"/>
                <w:b/>
                <w:bCs/>
                <w:color w:val="auto"/>
                <w:kern w:val="24"/>
                <w:sz w:val="24"/>
                <w:lang w:val="en-US" w:eastAsia="zh-CN"/>
              </w:rPr>
              <w:t>十二</w:t>
            </w:r>
            <w:r>
              <w:rPr>
                <w:b/>
                <w:bCs/>
                <w:color w:val="auto"/>
                <w:kern w:val="24"/>
                <w:sz w:val="24"/>
              </w:rPr>
              <w:t>、项目用地符合性分析</w:t>
            </w:r>
          </w:p>
          <w:p>
            <w:pPr>
              <w:widowControl/>
              <w:tabs>
                <w:tab w:val="left" w:pos="7472"/>
              </w:tabs>
              <w:adjustRightInd w:val="0"/>
              <w:spacing w:line="360" w:lineRule="auto"/>
              <w:ind w:firstLine="480" w:firstLineChars="200"/>
              <w:textAlignment w:val="baseline"/>
              <w:rPr>
                <w:color w:val="auto"/>
                <w:kern w:val="24"/>
                <w:sz w:val="24"/>
              </w:rPr>
            </w:pPr>
            <w:r>
              <w:rPr>
                <w:color w:val="auto"/>
                <w:kern w:val="24"/>
                <w:sz w:val="24"/>
              </w:rPr>
              <w:t>本项目主要对广坪河羊木段进行河道堤防建设，新建堤防段涉及占用耕地、林地、建设用地及滩涂等，经核实，本项目实施河段永久占地和临时占地均不涉及占用基本农田。同时，项目临时占地及永久占地均不涉及重点文物古迹等敏感目标。</w:t>
            </w:r>
          </w:p>
          <w:p>
            <w:pPr>
              <w:widowControl/>
              <w:tabs>
                <w:tab w:val="left" w:pos="7472"/>
              </w:tabs>
              <w:adjustRightInd w:val="0"/>
              <w:spacing w:line="360" w:lineRule="auto"/>
              <w:ind w:firstLine="480" w:firstLineChars="200"/>
              <w:textAlignment w:val="baseline"/>
              <w:rPr>
                <w:bCs/>
                <w:color w:val="auto"/>
                <w:sz w:val="24"/>
              </w:rPr>
            </w:pPr>
            <w:r>
              <w:rPr>
                <w:color w:val="auto"/>
                <w:kern w:val="24"/>
                <w:sz w:val="24"/>
              </w:rPr>
              <w:t>本项目部分建设段位于四川嘉陵江源市级湿地自然保护区实验区，不涉及核心区和缓冲区。本项目部分区域涉及生态保护红线边界，本项目为防洪治理工程，是必须且无法避让、符合县级以上规划的防洪基础设施建设，属于允许开发建设活动。</w:t>
            </w:r>
          </w:p>
          <w:p>
            <w:pPr>
              <w:adjustRightInd w:val="0"/>
              <w:snapToGrid w:val="0"/>
              <w:spacing w:line="360" w:lineRule="auto"/>
              <w:ind w:firstLine="480" w:firstLineChars="200"/>
              <w:rPr>
                <w:bCs/>
                <w:color w:val="auto"/>
                <w:sz w:val="24"/>
              </w:rPr>
            </w:pPr>
          </w:p>
          <w:p>
            <w:pPr>
              <w:adjustRightInd w:val="0"/>
              <w:snapToGrid w:val="0"/>
              <w:spacing w:line="360" w:lineRule="auto"/>
              <w:rPr>
                <w:b/>
                <w:bCs/>
                <w:color w:val="auto"/>
                <w:sz w:val="24"/>
              </w:rPr>
            </w:pPr>
          </w:p>
          <w:p>
            <w:pPr>
              <w:pStyle w:val="12"/>
              <w:ind w:firstLine="480"/>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p>
            <w:pPr>
              <w:pStyle w:val="17"/>
              <w:numPr>
                <w:ilvl w:val="0"/>
                <w:numId w:val="0"/>
              </w:numPr>
              <w:rPr>
                <w:color w:val="auto"/>
              </w:rPr>
            </w:pPr>
          </w:p>
          <w:p>
            <w:pPr>
              <w:pStyle w:val="17"/>
              <w:numPr>
                <w:ilvl w:val="0"/>
                <w:numId w:val="0"/>
              </w:numPr>
              <w:ind w:left="2040" w:hanging="360"/>
              <w:rPr>
                <w:color w:val="auto"/>
              </w:rPr>
            </w:pPr>
          </w:p>
          <w:p>
            <w:pPr>
              <w:pStyle w:val="17"/>
              <w:numPr>
                <w:ilvl w:val="0"/>
                <w:numId w:val="0"/>
              </w:numPr>
              <w:ind w:left="2040" w:hanging="360"/>
              <w:rPr>
                <w:color w:val="auto"/>
              </w:rPr>
            </w:pPr>
          </w:p>
        </w:tc>
      </w:tr>
    </w:tbl>
    <w:p>
      <w:pPr>
        <w:spacing w:line="360" w:lineRule="auto"/>
        <w:outlineLvl w:val="0"/>
        <w:rPr>
          <w:rFonts w:eastAsia="黑体"/>
          <w:color w:val="auto"/>
          <w:sz w:val="30"/>
        </w:rPr>
        <w:sectPr>
          <w:pgSz w:w="11906" w:h="16838"/>
          <w:pgMar w:top="1701" w:right="1531" w:bottom="1701" w:left="1531" w:header="851" w:footer="1077" w:gutter="0"/>
          <w:cols w:space="720" w:num="1"/>
          <w:docGrid w:linePitch="312" w:charSpace="0"/>
        </w:sectPr>
      </w:pPr>
    </w:p>
    <w:p>
      <w:pPr>
        <w:pStyle w:val="3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二、建设内容</w:t>
      </w:r>
    </w:p>
    <w:tbl>
      <w:tblPr>
        <w:tblStyle w:val="36"/>
        <w:tblW w:w="91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86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adjustRightInd w:val="0"/>
              <w:snapToGrid w:val="0"/>
              <w:jc w:val="center"/>
              <w:rPr>
                <w:color w:val="auto"/>
                <w:sz w:val="24"/>
              </w:rPr>
            </w:pPr>
            <w:r>
              <w:rPr>
                <w:color w:val="auto"/>
                <w:kern w:val="0"/>
                <w:sz w:val="24"/>
              </w:rPr>
              <w:t>地理位置</w:t>
            </w:r>
          </w:p>
        </w:tc>
        <w:tc>
          <w:tcPr>
            <w:tcW w:w="9591" w:type="dxa"/>
            <w:vAlign w:val="center"/>
          </w:tcPr>
          <w:p>
            <w:pPr>
              <w:adjustRightInd w:val="0"/>
              <w:snapToGrid w:val="0"/>
              <w:spacing w:line="360" w:lineRule="auto"/>
              <w:ind w:firstLine="480" w:firstLineChars="200"/>
              <w:rPr>
                <w:color w:val="auto"/>
                <w:kern w:val="0"/>
                <w:sz w:val="24"/>
              </w:rPr>
            </w:pPr>
            <w:r>
              <w:rPr>
                <w:color w:val="auto"/>
                <w:kern w:val="0"/>
                <w:sz w:val="24"/>
              </w:rPr>
              <w:t>本项目位于广元市朝天区朝天镇双河村、仇坝村、吴坝村、青羊村境内，属广坪河下游河段，起点位于双河村广坪河右岸（105°51’18”，32°36’49”），终点位于青羊村广坪河右岸（105°48’39"，32°37’0″）。综合治理河道长度为7.50km，新建堤防3668m（左岸1898m，右岸1770m</w:t>
            </w:r>
            <w:r>
              <w:rPr>
                <w:rFonts w:hint="eastAsia"/>
                <w:color w:val="auto"/>
                <w:kern w:val="0"/>
                <w:sz w:val="24"/>
                <w:lang w:eastAsia="zh-CN"/>
              </w:rPr>
              <w:t>，</w:t>
            </w:r>
            <w:r>
              <w:rPr>
                <w:rFonts w:hint="eastAsia"/>
                <w:color w:val="auto"/>
                <w:kern w:val="0"/>
                <w:sz w:val="24"/>
                <w:lang w:val="en-US" w:eastAsia="zh-CN"/>
              </w:rPr>
              <w:t>其中367m不予实施</w:t>
            </w:r>
            <w:r>
              <w:rPr>
                <w:color w:val="auto"/>
                <w:kern w:val="0"/>
                <w:sz w:val="24"/>
              </w:rPr>
              <w:t>），疏浚河道3670m（含堤防建设区1630m</w:t>
            </w:r>
            <w:r>
              <w:rPr>
                <w:rFonts w:hint="eastAsia"/>
                <w:color w:val="auto"/>
                <w:kern w:val="0"/>
                <w:sz w:val="24"/>
                <w:lang w:eastAsia="zh-CN"/>
              </w:rPr>
              <w:t>；</w:t>
            </w:r>
            <w:r>
              <w:rPr>
                <w:rFonts w:hint="eastAsia"/>
                <w:color w:val="auto"/>
                <w:kern w:val="0"/>
                <w:sz w:val="24"/>
                <w:lang w:val="en-US" w:eastAsia="zh-CN"/>
              </w:rPr>
              <w:t>其中涉及保护区的</w:t>
            </w:r>
            <w:r>
              <w:rPr>
                <w:color w:val="auto"/>
                <w:sz w:val="24"/>
              </w:rPr>
              <w:t>1830m不予实施</w:t>
            </w:r>
            <w:r>
              <w:rPr>
                <w:color w:val="auto"/>
                <w:kern w:val="0"/>
                <w:sz w:val="24"/>
              </w:rPr>
              <w:t>），新建下河梯步6处（均设置在堤防占地范围内）、排涝工程8处（均设置在堤防占地范围内）。</w:t>
            </w:r>
          </w:p>
          <w:p>
            <w:pPr>
              <w:adjustRightInd w:val="0"/>
              <w:snapToGrid w:val="0"/>
              <w:spacing w:line="360" w:lineRule="auto"/>
              <w:ind w:firstLine="480" w:firstLineChars="200"/>
              <w:rPr>
                <w:b/>
                <w:color w:val="auto"/>
                <w:szCs w:val="21"/>
              </w:rPr>
            </w:pPr>
            <w:r>
              <w:rPr>
                <w:rStyle w:val="87"/>
                <w:rFonts w:hint="eastAsia"/>
                <w:color w:val="auto"/>
                <w:lang w:val="en-US" w:eastAsia="zh-CN"/>
              </w:rPr>
              <w:t>目前堤防主体工程已完工，部分堤防植草护坡等收尾工作未完成，预计2024年4月底完工。工程施工过程中未受到群众投诉。</w:t>
            </w:r>
          </w:p>
          <w:p>
            <w:pPr>
              <w:adjustRightInd w:val="0"/>
              <w:snapToGrid w:val="0"/>
              <w:spacing w:line="360" w:lineRule="auto"/>
              <w:ind w:firstLine="480" w:firstLineChars="200"/>
              <w:rPr>
                <w:color w:val="auto"/>
                <w:kern w:val="0"/>
                <w:sz w:val="24"/>
              </w:rPr>
            </w:pPr>
            <w:r>
              <w:rPr>
                <w:color w:val="auto"/>
                <w:kern w:val="0"/>
                <w:sz w:val="24"/>
              </w:rPr>
              <w:t>本项目工程节点坐标见下表。</w:t>
            </w:r>
          </w:p>
          <w:p>
            <w:pPr>
              <w:pStyle w:val="63"/>
              <w:numPr>
                <w:ilvl w:val="0"/>
                <w:numId w:val="6"/>
              </w:numPr>
              <w:adjustRightInd w:val="0"/>
              <w:snapToGrid w:val="0"/>
              <w:rPr>
                <w:b/>
                <w:color w:val="auto"/>
                <w:szCs w:val="21"/>
              </w:rPr>
            </w:pPr>
            <w:r>
              <w:rPr>
                <w:b/>
                <w:color w:val="auto"/>
                <w:szCs w:val="21"/>
              </w:rPr>
              <w:t>项目工程节点坐标</w:t>
            </w:r>
          </w:p>
          <w:tbl>
            <w:tblPr>
              <w:tblStyle w:val="68"/>
              <w:tblW w:w="4998"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818"/>
              <w:gridCol w:w="925"/>
              <w:gridCol w:w="1033"/>
              <w:gridCol w:w="1037"/>
              <w:gridCol w:w="1462"/>
              <w:gridCol w:w="1590"/>
              <w:gridCol w:w="1059"/>
            </w:tblGrid>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restart"/>
                  <w:tcBorders>
                    <w:top w:val="single" w:color="auto" w:sz="12" w:space="0"/>
                  </w:tcBorders>
                  <w:vAlign w:val="center"/>
                </w:tcPr>
                <w:p>
                  <w:pPr>
                    <w:jc w:val="center"/>
                    <w:rPr>
                      <w:b/>
                      <w:bCs/>
                      <w:color w:val="auto"/>
                      <w:kern w:val="0"/>
                      <w:szCs w:val="21"/>
                    </w:rPr>
                  </w:pPr>
                  <w:r>
                    <w:rPr>
                      <w:b/>
                      <w:color w:val="auto"/>
                      <w:kern w:val="0"/>
                      <w:szCs w:val="21"/>
                      <w:lang w:bidi="ar"/>
                    </w:rPr>
                    <w:t>工程措施</w:t>
                  </w:r>
                </w:p>
              </w:tc>
              <w:tc>
                <w:tcPr>
                  <w:tcW w:w="482" w:type="pct"/>
                  <w:vMerge w:val="restart"/>
                  <w:tcBorders>
                    <w:top w:val="single" w:color="auto" w:sz="12" w:space="0"/>
                  </w:tcBorders>
                  <w:vAlign w:val="center"/>
                </w:tcPr>
                <w:p>
                  <w:pPr>
                    <w:jc w:val="center"/>
                    <w:rPr>
                      <w:b/>
                      <w:color w:val="auto"/>
                      <w:kern w:val="0"/>
                      <w:szCs w:val="21"/>
                      <w:lang w:bidi="ar"/>
                    </w:rPr>
                  </w:pPr>
                  <w:r>
                    <w:rPr>
                      <w:b/>
                      <w:color w:val="auto"/>
                      <w:kern w:val="0"/>
                      <w:szCs w:val="21"/>
                      <w:lang w:bidi="ar"/>
                    </w:rPr>
                    <w:t>工程</w:t>
                  </w:r>
                </w:p>
                <w:p>
                  <w:pPr>
                    <w:jc w:val="center"/>
                    <w:rPr>
                      <w:b/>
                      <w:bCs/>
                      <w:color w:val="auto"/>
                      <w:kern w:val="0"/>
                      <w:szCs w:val="21"/>
                    </w:rPr>
                  </w:pPr>
                  <w:r>
                    <w:rPr>
                      <w:b/>
                      <w:color w:val="auto"/>
                      <w:kern w:val="0"/>
                      <w:szCs w:val="21"/>
                      <w:lang w:bidi="ar"/>
                    </w:rPr>
                    <w:t>河段</w:t>
                  </w:r>
                </w:p>
              </w:tc>
              <w:tc>
                <w:tcPr>
                  <w:tcW w:w="546" w:type="pct"/>
                  <w:vMerge w:val="restart"/>
                  <w:tcBorders>
                    <w:top w:val="single" w:color="auto" w:sz="12" w:space="0"/>
                  </w:tcBorders>
                  <w:vAlign w:val="center"/>
                </w:tcPr>
                <w:p>
                  <w:pPr>
                    <w:jc w:val="center"/>
                    <w:rPr>
                      <w:b/>
                      <w:bCs/>
                      <w:color w:val="auto"/>
                      <w:kern w:val="0"/>
                      <w:szCs w:val="21"/>
                    </w:rPr>
                  </w:pPr>
                  <w:r>
                    <w:rPr>
                      <w:b/>
                      <w:color w:val="auto"/>
                      <w:kern w:val="0"/>
                      <w:szCs w:val="21"/>
                      <w:lang w:bidi="ar"/>
                    </w:rPr>
                    <w:t>长度（m）</w:t>
                  </w:r>
                </w:p>
              </w:tc>
              <w:tc>
                <w:tcPr>
                  <w:tcW w:w="1221" w:type="pct"/>
                  <w:gridSpan w:val="2"/>
                  <w:tcBorders>
                    <w:top w:val="single" w:color="auto" w:sz="12" w:space="0"/>
                  </w:tcBorders>
                  <w:vAlign w:val="center"/>
                </w:tcPr>
                <w:p>
                  <w:pPr>
                    <w:jc w:val="center"/>
                    <w:rPr>
                      <w:b/>
                      <w:bCs/>
                      <w:color w:val="auto"/>
                      <w:kern w:val="0"/>
                      <w:szCs w:val="21"/>
                    </w:rPr>
                  </w:pPr>
                  <w:r>
                    <w:rPr>
                      <w:b/>
                      <w:bCs/>
                      <w:color w:val="auto"/>
                      <w:kern w:val="0"/>
                      <w:szCs w:val="21"/>
                    </w:rPr>
                    <w:t>桩号</w:t>
                  </w:r>
                </w:p>
              </w:tc>
              <w:tc>
                <w:tcPr>
                  <w:tcW w:w="863" w:type="pct"/>
                  <w:vMerge w:val="restart"/>
                  <w:tcBorders>
                    <w:top w:val="single" w:color="auto" w:sz="12" w:space="0"/>
                  </w:tcBorders>
                  <w:vAlign w:val="center"/>
                </w:tcPr>
                <w:p>
                  <w:pPr>
                    <w:jc w:val="center"/>
                    <w:rPr>
                      <w:b/>
                      <w:bCs/>
                      <w:color w:val="auto"/>
                      <w:kern w:val="0"/>
                      <w:szCs w:val="21"/>
                    </w:rPr>
                  </w:pPr>
                  <w:r>
                    <w:rPr>
                      <w:b/>
                      <w:bCs/>
                      <w:color w:val="auto"/>
                      <w:kern w:val="0"/>
                      <w:szCs w:val="21"/>
                    </w:rPr>
                    <w:t>起点坐标</w:t>
                  </w:r>
                </w:p>
              </w:tc>
              <w:tc>
                <w:tcPr>
                  <w:tcW w:w="938" w:type="pct"/>
                  <w:vMerge w:val="restart"/>
                  <w:tcBorders>
                    <w:top w:val="single" w:color="auto" w:sz="12" w:space="0"/>
                  </w:tcBorders>
                  <w:vAlign w:val="center"/>
                </w:tcPr>
                <w:p>
                  <w:pPr>
                    <w:jc w:val="center"/>
                    <w:rPr>
                      <w:b/>
                      <w:bCs/>
                      <w:color w:val="auto"/>
                      <w:kern w:val="0"/>
                      <w:szCs w:val="21"/>
                    </w:rPr>
                  </w:pPr>
                  <w:r>
                    <w:rPr>
                      <w:b/>
                      <w:bCs/>
                      <w:color w:val="auto"/>
                      <w:kern w:val="0"/>
                      <w:szCs w:val="21"/>
                    </w:rPr>
                    <w:t>终点坐标</w:t>
                  </w:r>
                </w:p>
              </w:tc>
              <w:tc>
                <w:tcPr>
                  <w:tcW w:w="625" w:type="pct"/>
                  <w:vMerge w:val="restart"/>
                  <w:tcBorders>
                    <w:top w:val="single" w:color="auto" w:sz="12" w:space="0"/>
                  </w:tcBorders>
                  <w:vAlign w:val="center"/>
                </w:tcPr>
                <w:p>
                  <w:pPr>
                    <w:jc w:val="center"/>
                    <w:rPr>
                      <w:b/>
                      <w:bCs/>
                      <w:color w:val="auto"/>
                      <w:kern w:val="0"/>
                      <w:szCs w:val="21"/>
                    </w:rPr>
                  </w:pPr>
                  <w:r>
                    <w:rPr>
                      <w:b/>
                      <w:bCs/>
                      <w:color w:val="auto"/>
                      <w:kern w:val="0"/>
                      <w:szCs w:val="21"/>
                    </w:rPr>
                    <w:t>备注</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jc w:val="center"/>
                    <w:rPr>
                      <w:b/>
                      <w:bCs/>
                      <w:color w:val="auto"/>
                      <w:kern w:val="0"/>
                      <w:szCs w:val="21"/>
                    </w:rPr>
                  </w:pPr>
                </w:p>
              </w:tc>
              <w:tc>
                <w:tcPr>
                  <w:tcW w:w="482" w:type="pct"/>
                  <w:vMerge w:val="continue"/>
                  <w:vAlign w:val="center"/>
                </w:tcPr>
                <w:p>
                  <w:pPr>
                    <w:jc w:val="center"/>
                    <w:rPr>
                      <w:b/>
                      <w:bCs/>
                      <w:color w:val="auto"/>
                      <w:kern w:val="0"/>
                      <w:szCs w:val="21"/>
                    </w:rPr>
                  </w:pPr>
                </w:p>
              </w:tc>
              <w:tc>
                <w:tcPr>
                  <w:tcW w:w="546" w:type="pct"/>
                  <w:vMerge w:val="continue"/>
                  <w:vAlign w:val="center"/>
                </w:tcPr>
                <w:p>
                  <w:pPr>
                    <w:jc w:val="center"/>
                    <w:rPr>
                      <w:b/>
                      <w:bCs/>
                      <w:color w:val="auto"/>
                      <w:kern w:val="0"/>
                      <w:szCs w:val="21"/>
                    </w:rPr>
                  </w:pPr>
                </w:p>
              </w:tc>
              <w:tc>
                <w:tcPr>
                  <w:tcW w:w="609" w:type="pct"/>
                  <w:vAlign w:val="center"/>
                </w:tcPr>
                <w:p>
                  <w:pPr>
                    <w:jc w:val="center"/>
                    <w:rPr>
                      <w:b/>
                      <w:bCs/>
                      <w:color w:val="auto"/>
                      <w:kern w:val="0"/>
                      <w:szCs w:val="21"/>
                    </w:rPr>
                  </w:pPr>
                  <w:r>
                    <w:rPr>
                      <w:b/>
                      <w:bCs/>
                      <w:color w:val="auto"/>
                      <w:kern w:val="0"/>
                      <w:szCs w:val="21"/>
                    </w:rPr>
                    <w:t>起点</w:t>
                  </w:r>
                </w:p>
              </w:tc>
              <w:tc>
                <w:tcPr>
                  <w:tcW w:w="612" w:type="pct"/>
                  <w:vAlign w:val="center"/>
                </w:tcPr>
                <w:p>
                  <w:pPr>
                    <w:jc w:val="center"/>
                    <w:rPr>
                      <w:b/>
                      <w:bCs/>
                      <w:color w:val="auto"/>
                      <w:kern w:val="0"/>
                      <w:szCs w:val="21"/>
                    </w:rPr>
                  </w:pPr>
                  <w:r>
                    <w:rPr>
                      <w:b/>
                      <w:bCs/>
                      <w:color w:val="auto"/>
                      <w:kern w:val="0"/>
                      <w:szCs w:val="21"/>
                    </w:rPr>
                    <w:t>终点</w:t>
                  </w:r>
                </w:p>
              </w:tc>
              <w:tc>
                <w:tcPr>
                  <w:tcW w:w="863" w:type="pct"/>
                  <w:vMerge w:val="continue"/>
                  <w:vAlign w:val="center"/>
                </w:tcPr>
                <w:p>
                  <w:pPr>
                    <w:jc w:val="center"/>
                    <w:rPr>
                      <w:b/>
                      <w:bCs/>
                      <w:color w:val="auto"/>
                      <w:kern w:val="0"/>
                      <w:szCs w:val="21"/>
                    </w:rPr>
                  </w:pPr>
                </w:p>
              </w:tc>
              <w:tc>
                <w:tcPr>
                  <w:tcW w:w="938" w:type="pct"/>
                  <w:vMerge w:val="continue"/>
                  <w:vAlign w:val="center"/>
                </w:tcPr>
                <w:p>
                  <w:pPr>
                    <w:jc w:val="center"/>
                    <w:rPr>
                      <w:b/>
                      <w:bCs/>
                      <w:color w:val="auto"/>
                      <w:kern w:val="0"/>
                      <w:szCs w:val="21"/>
                    </w:rPr>
                  </w:pPr>
                </w:p>
              </w:tc>
              <w:tc>
                <w:tcPr>
                  <w:tcW w:w="625" w:type="pct"/>
                  <w:vMerge w:val="continue"/>
                  <w:vAlign w:val="center"/>
                </w:tcPr>
                <w:p>
                  <w:pPr>
                    <w:jc w:val="center"/>
                    <w:rPr>
                      <w:b/>
                      <w:bCs/>
                      <w:color w:val="auto"/>
                      <w:kern w:val="0"/>
                      <w:szCs w:val="21"/>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Align w:val="center"/>
                </w:tcPr>
                <w:p>
                  <w:pPr>
                    <w:widowControl/>
                    <w:spacing w:line="300" w:lineRule="exact"/>
                    <w:jc w:val="center"/>
                    <w:rPr>
                      <w:color w:val="auto"/>
                      <w:kern w:val="0"/>
                      <w:szCs w:val="21"/>
                    </w:rPr>
                  </w:pPr>
                  <w:r>
                    <w:rPr>
                      <w:color w:val="auto"/>
                      <w:kern w:val="0"/>
                      <w:szCs w:val="21"/>
                    </w:rPr>
                    <w:t>综合治理河长</w:t>
                  </w:r>
                </w:p>
              </w:tc>
              <w:tc>
                <w:tcPr>
                  <w:tcW w:w="482" w:type="pct"/>
                  <w:vAlign w:val="center"/>
                </w:tcPr>
                <w:p>
                  <w:pPr>
                    <w:widowControl/>
                    <w:spacing w:line="300" w:lineRule="exact"/>
                    <w:jc w:val="center"/>
                    <w:rPr>
                      <w:color w:val="auto"/>
                      <w:kern w:val="0"/>
                      <w:sz w:val="18"/>
                      <w:szCs w:val="18"/>
                    </w:rPr>
                  </w:pPr>
                  <w:r>
                    <w:rPr>
                      <w:color w:val="auto"/>
                      <w:kern w:val="0"/>
                      <w:sz w:val="18"/>
                      <w:szCs w:val="18"/>
                    </w:rPr>
                    <w:t>广坪河</w:t>
                  </w:r>
                </w:p>
              </w:tc>
              <w:tc>
                <w:tcPr>
                  <w:tcW w:w="546" w:type="pct"/>
                  <w:vAlign w:val="center"/>
                </w:tcPr>
                <w:p>
                  <w:pPr>
                    <w:widowControl/>
                    <w:adjustRightInd w:val="0"/>
                    <w:jc w:val="center"/>
                    <w:rPr>
                      <w:color w:val="auto"/>
                      <w:kern w:val="0"/>
                      <w:sz w:val="18"/>
                      <w:szCs w:val="18"/>
                    </w:rPr>
                  </w:pPr>
                  <w:r>
                    <w:rPr>
                      <w:color w:val="auto"/>
                      <w:kern w:val="0"/>
                      <w:sz w:val="18"/>
                      <w:szCs w:val="18"/>
                    </w:rPr>
                    <w:t>7500</w:t>
                  </w:r>
                </w:p>
              </w:tc>
              <w:tc>
                <w:tcPr>
                  <w:tcW w:w="609" w:type="pct"/>
                  <w:vAlign w:val="center"/>
                </w:tcPr>
                <w:p>
                  <w:pPr>
                    <w:widowControl/>
                    <w:adjustRightInd w:val="0"/>
                    <w:jc w:val="center"/>
                    <w:rPr>
                      <w:color w:val="auto"/>
                      <w:kern w:val="0"/>
                      <w:sz w:val="18"/>
                      <w:szCs w:val="18"/>
                    </w:rPr>
                  </w:pPr>
                  <w:r>
                    <w:rPr>
                      <w:color w:val="auto"/>
                      <w:kern w:val="0"/>
                      <w:sz w:val="18"/>
                      <w:szCs w:val="18"/>
                    </w:rPr>
                    <w:t>广K0+000.00</w:t>
                  </w:r>
                </w:p>
              </w:tc>
              <w:tc>
                <w:tcPr>
                  <w:tcW w:w="612" w:type="pct"/>
                  <w:vAlign w:val="center"/>
                </w:tcPr>
                <w:p>
                  <w:pPr>
                    <w:widowControl/>
                    <w:adjustRightInd w:val="0"/>
                    <w:jc w:val="center"/>
                    <w:rPr>
                      <w:color w:val="auto"/>
                      <w:kern w:val="0"/>
                      <w:sz w:val="18"/>
                      <w:szCs w:val="18"/>
                    </w:rPr>
                  </w:pPr>
                  <w:r>
                    <w:rPr>
                      <w:color w:val="auto"/>
                      <w:kern w:val="0"/>
                      <w:sz w:val="18"/>
                      <w:szCs w:val="18"/>
                    </w:rPr>
                    <w:t>广K7+500.00</w:t>
                  </w:r>
                </w:p>
              </w:tc>
              <w:tc>
                <w:tcPr>
                  <w:tcW w:w="863" w:type="pct"/>
                  <w:vAlign w:val="center"/>
                </w:tcPr>
                <w:p>
                  <w:pPr>
                    <w:widowControl/>
                    <w:adjustRightInd w:val="0"/>
                    <w:jc w:val="center"/>
                    <w:rPr>
                      <w:color w:val="auto"/>
                      <w:kern w:val="0"/>
                      <w:sz w:val="18"/>
                      <w:szCs w:val="18"/>
                    </w:rPr>
                  </w:pPr>
                  <w:r>
                    <w:rPr>
                      <w:color w:val="auto"/>
                      <w:kern w:val="0"/>
                      <w:sz w:val="18"/>
                      <w:szCs w:val="18"/>
                    </w:rPr>
                    <w:t>东经105°51′18″</w:t>
                  </w:r>
                </w:p>
                <w:p>
                  <w:pPr>
                    <w:jc w:val="center"/>
                    <w:rPr>
                      <w:color w:val="auto"/>
                      <w:kern w:val="0"/>
                      <w:sz w:val="18"/>
                      <w:szCs w:val="18"/>
                    </w:rPr>
                  </w:pPr>
                  <w:r>
                    <w:rPr>
                      <w:color w:val="auto"/>
                      <w:kern w:val="0"/>
                      <w:sz w:val="18"/>
                      <w:szCs w:val="18"/>
                    </w:rPr>
                    <w:t>北纬32°36′49″</w:t>
                  </w:r>
                </w:p>
              </w:tc>
              <w:tc>
                <w:tcPr>
                  <w:tcW w:w="938" w:type="pct"/>
                  <w:vAlign w:val="center"/>
                </w:tcPr>
                <w:p>
                  <w:pPr>
                    <w:widowControl/>
                    <w:adjustRightInd w:val="0"/>
                    <w:jc w:val="center"/>
                    <w:rPr>
                      <w:color w:val="auto"/>
                      <w:kern w:val="0"/>
                      <w:sz w:val="18"/>
                      <w:szCs w:val="18"/>
                    </w:rPr>
                  </w:pPr>
                  <w:r>
                    <w:rPr>
                      <w:color w:val="auto"/>
                      <w:kern w:val="0"/>
                      <w:sz w:val="18"/>
                      <w:szCs w:val="18"/>
                    </w:rPr>
                    <w:t>东经105°48′39″</w:t>
                  </w:r>
                </w:p>
                <w:p>
                  <w:pPr>
                    <w:jc w:val="center"/>
                    <w:rPr>
                      <w:color w:val="auto"/>
                      <w:kern w:val="0"/>
                      <w:sz w:val="18"/>
                      <w:szCs w:val="18"/>
                    </w:rPr>
                  </w:pPr>
                  <w:r>
                    <w:rPr>
                      <w:color w:val="auto"/>
                      <w:kern w:val="0"/>
                      <w:sz w:val="18"/>
                      <w:szCs w:val="18"/>
                    </w:rPr>
                    <w:t>北纬32°37′0″</w:t>
                  </w:r>
                </w:p>
              </w:tc>
              <w:tc>
                <w:tcPr>
                  <w:tcW w:w="625" w:type="pct"/>
                  <w:vAlign w:val="center"/>
                </w:tcPr>
                <w:p>
                  <w:pPr>
                    <w:jc w:val="center"/>
                    <w:rPr>
                      <w:color w:val="auto"/>
                      <w:kern w:val="0"/>
                      <w:sz w:val="18"/>
                      <w:szCs w:val="18"/>
                    </w:rPr>
                  </w:pPr>
                  <w:r>
                    <w:rPr>
                      <w:color w:val="auto"/>
                      <w:kern w:val="0"/>
                      <w:sz w:val="18"/>
                      <w:szCs w:val="18"/>
                    </w:rPr>
                    <w:t>/</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restart"/>
                  <w:vAlign w:val="center"/>
                </w:tcPr>
                <w:p>
                  <w:pPr>
                    <w:widowControl/>
                    <w:spacing w:line="300" w:lineRule="exact"/>
                    <w:jc w:val="center"/>
                    <w:rPr>
                      <w:color w:val="auto"/>
                      <w:kern w:val="0"/>
                      <w:szCs w:val="21"/>
                    </w:rPr>
                  </w:pPr>
                  <w:r>
                    <w:rPr>
                      <w:color w:val="auto"/>
                      <w:kern w:val="0"/>
                      <w:szCs w:val="21"/>
                    </w:rPr>
                    <w:t>新建堤防</w:t>
                  </w:r>
                </w:p>
              </w:tc>
              <w:tc>
                <w:tcPr>
                  <w:tcW w:w="482" w:type="pct"/>
                  <w:vAlign w:val="center"/>
                </w:tcPr>
                <w:p>
                  <w:pPr>
                    <w:widowControl/>
                    <w:spacing w:line="300" w:lineRule="exact"/>
                    <w:jc w:val="center"/>
                    <w:rPr>
                      <w:color w:val="auto"/>
                      <w:kern w:val="0"/>
                      <w:sz w:val="18"/>
                      <w:szCs w:val="18"/>
                    </w:rPr>
                  </w:pPr>
                  <w:r>
                    <w:rPr>
                      <w:color w:val="auto"/>
                      <w:kern w:val="0"/>
                      <w:sz w:val="18"/>
                      <w:szCs w:val="18"/>
                    </w:rPr>
                    <w:t>广坪河1段堤防</w:t>
                  </w:r>
                </w:p>
              </w:tc>
              <w:tc>
                <w:tcPr>
                  <w:tcW w:w="546" w:type="pct"/>
                  <w:vAlign w:val="center"/>
                </w:tcPr>
                <w:p>
                  <w:pPr>
                    <w:widowControl/>
                    <w:adjustRightInd w:val="0"/>
                    <w:jc w:val="center"/>
                    <w:rPr>
                      <w:color w:val="auto"/>
                      <w:kern w:val="0"/>
                      <w:sz w:val="18"/>
                      <w:szCs w:val="18"/>
                    </w:rPr>
                  </w:pPr>
                  <w:r>
                    <w:rPr>
                      <w:color w:val="auto"/>
                      <w:kern w:val="0"/>
                      <w:sz w:val="18"/>
                      <w:szCs w:val="18"/>
                    </w:rPr>
                    <w:t>992</w:t>
                  </w:r>
                </w:p>
              </w:tc>
              <w:tc>
                <w:tcPr>
                  <w:tcW w:w="609" w:type="pct"/>
                  <w:vAlign w:val="center"/>
                </w:tcPr>
                <w:p>
                  <w:pPr>
                    <w:widowControl/>
                    <w:adjustRightInd w:val="0"/>
                    <w:jc w:val="center"/>
                    <w:rPr>
                      <w:color w:val="auto"/>
                      <w:kern w:val="0"/>
                      <w:sz w:val="18"/>
                      <w:szCs w:val="18"/>
                    </w:rPr>
                  </w:pPr>
                  <w:r>
                    <w:rPr>
                      <w:color w:val="auto"/>
                      <w:kern w:val="0"/>
                      <w:sz w:val="18"/>
                      <w:szCs w:val="18"/>
                    </w:rPr>
                    <w:t>广左0+000.00</w:t>
                  </w:r>
                </w:p>
              </w:tc>
              <w:tc>
                <w:tcPr>
                  <w:tcW w:w="612" w:type="pct"/>
                  <w:vAlign w:val="center"/>
                </w:tcPr>
                <w:p>
                  <w:pPr>
                    <w:widowControl/>
                    <w:adjustRightInd w:val="0"/>
                    <w:jc w:val="center"/>
                    <w:rPr>
                      <w:color w:val="auto"/>
                      <w:kern w:val="0"/>
                      <w:sz w:val="18"/>
                      <w:szCs w:val="18"/>
                    </w:rPr>
                  </w:pPr>
                  <w:r>
                    <w:rPr>
                      <w:color w:val="auto"/>
                      <w:kern w:val="0"/>
                      <w:sz w:val="18"/>
                      <w:szCs w:val="18"/>
                    </w:rPr>
                    <w:t>广左0+992.00</w:t>
                  </w:r>
                </w:p>
              </w:tc>
              <w:tc>
                <w:tcPr>
                  <w:tcW w:w="863" w:type="pct"/>
                  <w:vAlign w:val="center"/>
                </w:tcPr>
                <w:p>
                  <w:pPr>
                    <w:widowControl/>
                    <w:adjustRightInd w:val="0"/>
                    <w:jc w:val="center"/>
                    <w:rPr>
                      <w:color w:val="auto"/>
                      <w:kern w:val="0"/>
                      <w:sz w:val="18"/>
                      <w:szCs w:val="18"/>
                    </w:rPr>
                  </w:pPr>
                  <w:r>
                    <w:rPr>
                      <w:color w:val="auto"/>
                      <w:kern w:val="0"/>
                      <w:sz w:val="18"/>
                      <w:szCs w:val="18"/>
                    </w:rPr>
                    <w:t>东经105°50′55″</w:t>
                  </w:r>
                </w:p>
                <w:p>
                  <w:pPr>
                    <w:widowControl/>
                    <w:adjustRightInd w:val="0"/>
                    <w:jc w:val="center"/>
                    <w:rPr>
                      <w:color w:val="auto"/>
                      <w:kern w:val="0"/>
                      <w:sz w:val="18"/>
                      <w:szCs w:val="18"/>
                    </w:rPr>
                  </w:pPr>
                  <w:r>
                    <w:rPr>
                      <w:color w:val="auto"/>
                      <w:kern w:val="0"/>
                      <w:sz w:val="18"/>
                      <w:szCs w:val="18"/>
                    </w:rPr>
                    <w:t>北纬32°37′0″</w:t>
                  </w:r>
                </w:p>
              </w:tc>
              <w:tc>
                <w:tcPr>
                  <w:tcW w:w="938" w:type="pct"/>
                  <w:vAlign w:val="center"/>
                </w:tcPr>
                <w:p>
                  <w:pPr>
                    <w:widowControl/>
                    <w:adjustRightInd w:val="0"/>
                    <w:jc w:val="center"/>
                    <w:rPr>
                      <w:color w:val="auto"/>
                      <w:kern w:val="0"/>
                      <w:sz w:val="18"/>
                      <w:szCs w:val="18"/>
                    </w:rPr>
                  </w:pPr>
                  <w:r>
                    <w:rPr>
                      <w:color w:val="auto"/>
                      <w:kern w:val="0"/>
                      <w:sz w:val="18"/>
                      <w:szCs w:val="18"/>
                    </w:rPr>
                    <w:t>东经105°50′26″</w:t>
                  </w:r>
                </w:p>
                <w:p>
                  <w:pPr>
                    <w:widowControl/>
                    <w:adjustRightInd w:val="0"/>
                    <w:jc w:val="center"/>
                    <w:rPr>
                      <w:color w:val="auto"/>
                      <w:kern w:val="0"/>
                      <w:sz w:val="18"/>
                      <w:szCs w:val="18"/>
                    </w:rPr>
                  </w:pPr>
                  <w:r>
                    <w:rPr>
                      <w:color w:val="auto"/>
                      <w:kern w:val="0"/>
                      <w:sz w:val="18"/>
                      <w:szCs w:val="18"/>
                    </w:rPr>
                    <w:t>北纬32°36′58″</w:t>
                  </w:r>
                </w:p>
              </w:tc>
              <w:tc>
                <w:tcPr>
                  <w:tcW w:w="625" w:type="pct"/>
                  <w:vMerge w:val="restart"/>
                  <w:vAlign w:val="center"/>
                </w:tcPr>
                <w:p>
                  <w:pPr>
                    <w:jc w:val="center"/>
                    <w:rPr>
                      <w:rFonts w:hint="eastAsia" w:eastAsia="宋体"/>
                      <w:color w:val="auto"/>
                      <w:kern w:val="0"/>
                      <w:sz w:val="18"/>
                      <w:szCs w:val="18"/>
                      <w:lang w:val="en-US" w:eastAsia="zh-CN"/>
                    </w:rPr>
                  </w:pPr>
                  <w:r>
                    <w:rPr>
                      <w:rFonts w:hint="eastAsia"/>
                      <w:color w:val="auto"/>
                      <w:kern w:val="0"/>
                      <w:sz w:val="18"/>
                      <w:szCs w:val="18"/>
                      <w:lang w:val="en-US" w:eastAsia="zh-CN"/>
                    </w:rPr>
                    <w:t>已建</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广坪河2段堤防</w:t>
                  </w:r>
                </w:p>
              </w:tc>
              <w:tc>
                <w:tcPr>
                  <w:tcW w:w="546" w:type="pct"/>
                  <w:vAlign w:val="center"/>
                </w:tcPr>
                <w:p>
                  <w:pPr>
                    <w:widowControl/>
                    <w:adjustRightInd w:val="0"/>
                    <w:jc w:val="center"/>
                    <w:rPr>
                      <w:color w:val="auto"/>
                      <w:kern w:val="0"/>
                      <w:sz w:val="18"/>
                      <w:szCs w:val="18"/>
                    </w:rPr>
                  </w:pPr>
                  <w:r>
                    <w:rPr>
                      <w:color w:val="auto"/>
                      <w:kern w:val="0"/>
                      <w:sz w:val="18"/>
                      <w:szCs w:val="18"/>
                    </w:rPr>
                    <w:t>617</w:t>
                  </w:r>
                </w:p>
              </w:tc>
              <w:tc>
                <w:tcPr>
                  <w:tcW w:w="609" w:type="pct"/>
                  <w:vAlign w:val="center"/>
                </w:tcPr>
                <w:p>
                  <w:pPr>
                    <w:widowControl/>
                    <w:adjustRightInd w:val="0"/>
                    <w:jc w:val="center"/>
                    <w:rPr>
                      <w:color w:val="auto"/>
                      <w:kern w:val="0"/>
                      <w:sz w:val="18"/>
                      <w:szCs w:val="18"/>
                    </w:rPr>
                  </w:pPr>
                  <w:r>
                    <w:rPr>
                      <w:color w:val="auto"/>
                      <w:kern w:val="0"/>
                      <w:sz w:val="18"/>
                      <w:szCs w:val="18"/>
                    </w:rPr>
                    <w:t>广右0+000.00</w:t>
                  </w:r>
                </w:p>
              </w:tc>
              <w:tc>
                <w:tcPr>
                  <w:tcW w:w="612" w:type="pct"/>
                  <w:vAlign w:val="center"/>
                </w:tcPr>
                <w:p>
                  <w:pPr>
                    <w:widowControl/>
                    <w:adjustRightInd w:val="0"/>
                    <w:jc w:val="center"/>
                    <w:rPr>
                      <w:color w:val="auto"/>
                      <w:kern w:val="0"/>
                      <w:sz w:val="18"/>
                      <w:szCs w:val="18"/>
                    </w:rPr>
                  </w:pPr>
                  <w:r>
                    <w:rPr>
                      <w:color w:val="auto"/>
                      <w:kern w:val="0"/>
                      <w:sz w:val="18"/>
                      <w:szCs w:val="18"/>
                    </w:rPr>
                    <w:t>广右0+617.00</w:t>
                  </w:r>
                </w:p>
              </w:tc>
              <w:tc>
                <w:tcPr>
                  <w:tcW w:w="863" w:type="pct"/>
                  <w:vAlign w:val="center"/>
                </w:tcPr>
                <w:p>
                  <w:pPr>
                    <w:widowControl/>
                    <w:adjustRightInd w:val="0"/>
                    <w:jc w:val="center"/>
                    <w:rPr>
                      <w:color w:val="auto"/>
                      <w:kern w:val="0"/>
                      <w:sz w:val="18"/>
                      <w:szCs w:val="18"/>
                    </w:rPr>
                  </w:pPr>
                  <w:r>
                    <w:rPr>
                      <w:color w:val="auto"/>
                      <w:kern w:val="0"/>
                      <w:sz w:val="18"/>
                      <w:szCs w:val="18"/>
                    </w:rPr>
                    <w:t>东经105°50′24″</w:t>
                  </w:r>
                </w:p>
                <w:p>
                  <w:pPr>
                    <w:widowControl/>
                    <w:adjustRightInd w:val="0"/>
                    <w:jc w:val="center"/>
                    <w:rPr>
                      <w:color w:val="auto"/>
                      <w:kern w:val="0"/>
                      <w:sz w:val="18"/>
                      <w:szCs w:val="18"/>
                    </w:rPr>
                  </w:pPr>
                  <w:r>
                    <w:rPr>
                      <w:color w:val="auto"/>
                      <w:kern w:val="0"/>
                      <w:sz w:val="18"/>
                      <w:szCs w:val="18"/>
                    </w:rPr>
                    <w:t>北纬32°36′54″</w:t>
                  </w:r>
                </w:p>
              </w:tc>
              <w:tc>
                <w:tcPr>
                  <w:tcW w:w="938" w:type="pct"/>
                  <w:vAlign w:val="center"/>
                </w:tcPr>
                <w:p>
                  <w:pPr>
                    <w:widowControl/>
                    <w:adjustRightInd w:val="0"/>
                    <w:jc w:val="center"/>
                    <w:rPr>
                      <w:color w:val="auto"/>
                      <w:kern w:val="0"/>
                      <w:sz w:val="18"/>
                      <w:szCs w:val="18"/>
                    </w:rPr>
                  </w:pPr>
                  <w:r>
                    <w:rPr>
                      <w:color w:val="auto"/>
                      <w:kern w:val="0"/>
                      <w:sz w:val="18"/>
                      <w:szCs w:val="18"/>
                    </w:rPr>
                    <w:t>东经105°50′6″</w:t>
                  </w:r>
                </w:p>
                <w:p>
                  <w:pPr>
                    <w:widowControl/>
                    <w:adjustRightInd w:val="0"/>
                    <w:jc w:val="center"/>
                    <w:rPr>
                      <w:color w:val="auto"/>
                      <w:kern w:val="0"/>
                      <w:sz w:val="18"/>
                      <w:szCs w:val="18"/>
                    </w:rPr>
                  </w:pPr>
                  <w:r>
                    <w:rPr>
                      <w:color w:val="auto"/>
                      <w:kern w:val="0"/>
                      <w:sz w:val="18"/>
                      <w:szCs w:val="18"/>
                    </w:rPr>
                    <w:t>北纬32°37′2″</w:t>
                  </w:r>
                </w:p>
              </w:tc>
              <w:tc>
                <w:tcPr>
                  <w:tcW w:w="625" w:type="pct"/>
                  <w:vMerge w:val="continue"/>
                  <w:vAlign w:val="center"/>
                </w:tcPr>
                <w:p>
                  <w:pPr>
                    <w:jc w:val="center"/>
                    <w:rPr>
                      <w:color w:val="auto"/>
                      <w:kern w:val="0"/>
                      <w:sz w:val="18"/>
                      <w:szCs w:val="18"/>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广坪河3段堤防</w:t>
                  </w:r>
                </w:p>
              </w:tc>
              <w:tc>
                <w:tcPr>
                  <w:tcW w:w="546" w:type="pct"/>
                  <w:vAlign w:val="center"/>
                </w:tcPr>
                <w:p>
                  <w:pPr>
                    <w:widowControl/>
                    <w:adjustRightInd w:val="0"/>
                    <w:jc w:val="center"/>
                    <w:rPr>
                      <w:color w:val="auto"/>
                      <w:kern w:val="0"/>
                      <w:sz w:val="18"/>
                      <w:szCs w:val="18"/>
                    </w:rPr>
                  </w:pPr>
                  <w:r>
                    <w:rPr>
                      <w:color w:val="auto"/>
                      <w:kern w:val="0"/>
                      <w:sz w:val="18"/>
                      <w:szCs w:val="18"/>
                    </w:rPr>
                    <w:t>786</w:t>
                  </w:r>
                </w:p>
              </w:tc>
              <w:tc>
                <w:tcPr>
                  <w:tcW w:w="609" w:type="pct"/>
                  <w:vAlign w:val="center"/>
                </w:tcPr>
                <w:p>
                  <w:pPr>
                    <w:widowControl/>
                    <w:adjustRightInd w:val="0"/>
                    <w:jc w:val="center"/>
                    <w:rPr>
                      <w:color w:val="auto"/>
                      <w:kern w:val="0"/>
                      <w:sz w:val="18"/>
                      <w:szCs w:val="18"/>
                    </w:rPr>
                  </w:pPr>
                  <w:r>
                    <w:rPr>
                      <w:color w:val="auto"/>
                      <w:kern w:val="0"/>
                      <w:sz w:val="18"/>
                      <w:szCs w:val="18"/>
                    </w:rPr>
                    <w:t>广右0+000.00</w:t>
                  </w:r>
                </w:p>
              </w:tc>
              <w:tc>
                <w:tcPr>
                  <w:tcW w:w="612" w:type="pct"/>
                  <w:vAlign w:val="center"/>
                </w:tcPr>
                <w:p>
                  <w:pPr>
                    <w:widowControl/>
                    <w:adjustRightInd w:val="0"/>
                    <w:jc w:val="center"/>
                    <w:rPr>
                      <w:color w:val="auto"/>
                      <w:kern w:val="0"/>
                      <w:sz w:val="18"/>
                      <w:szCs w:val="18"/>
                    </w:rPr>
                  </w:pPr>
                  <w:r>
                    <w:rPr>
                      <w:color w:val="auto"/>
                      <w:kern w:val="0"/>
                      <w:sz w:val="18"/>
                      <w:szCs w:val="18"/>
                    </w:rPr>
                    <w:t>广右0+786.00</w:t>
                  </w:r>
                </w:p>
              </w:tc>
              <w:tc>
                <w:tcPr>
                  <w:tcW w:w="863" w:type="pct"/>
                  <w:vAlign w:val="center"/>
                </w:tcPr>
                <w:p>
                  <w:pPr>
                    <w:widowControl/>
                    <w:adjustRightInd w:val="0"/>
                    <w:jc w:val="center"/>
                    <w:rPr>
                      <w:color w:val="auto"/>
                      <w:kern w:val="0"/>
                      <w:sz w:val="18"/>
                      <w:szCs w:val="18"/>
                    </w:rPr>
                  </w:pPr>
                  <w:r>
                    <w:rPr>
                      <w:color w:val="auto"/>
                      <w:kern w:val="0"/>
                      <w:sz w:val="18"/>
                      <w:szCs w:val="18"/>
                    </w:rPr>
                    <w:t>东经105°49′51″</w:t>
                  </w:r>
                </w:p>
                <w:p>
                  <w:pPr>
                    <w:widowControl/>
                    <w:adjustRightInd w:val="0"/>
                    <w:jc w:val="center"/>
                    <w:rPr>
                      <w:color w:val="auto"/>
                      <w:kern w:val="0"/>
                      <w:sz w:val="18"/>
                      <w:szCs w:val="18"/>
                    </w:rPr>
                  </w:pPr>
                  <w:r>
                    <w:rPr>
                      <w:color w:val="auto"/>
                      <w:kern w:val="0"/>
                      <w:sz w:val="18"/>
                      <w:szCs w:val="18"/>
                    </w:rPr>
                    <w:t>北纬32°36′58″</w:t>
                  </w:r>
                </w:p>
              </w:tc>
              <w:tc>
                <w:tcPr>
                  <w:tcW w:w="938" w:type="pct"/>
                  <w:vAlign w:val="center"/>
                </w:tcPr>
                <w:p>
                  <w:pPr>
                    <w:widowControl/>
                    <w:adjustRightInd w:val="0"/>
                    <w:jc w:val="center"/>
                    <w:rPr>
                      <w:color w:val="auto"/>
                      <w:kern w:val="0"/>
                      <w:sz w:val="18"/>
                      <w:szCs w:val="18"/>
                    </w:rPr>
                  </w:pPr>
                  <w:r>
                    <w:rPr>
                      <w:color w:val="auto"/>
                      <w:kern w:val="0"/>
                      <w:sz w:val="18"/>
                      <w:szCs w:val="18"/>
                    </w:rPr>
                    <w:t>东经105°49′42″</w:t>
                  </w:r>
                </w:p>
                <w:p>
                  <w:pPr>
                    <w:widowControl/>
                    <w:adjustRightInd w:val="0"/>
                    <w:jc w:val="center"/>
                    <w:rPr>
                      <w:color w:val="auto"/>
                      <w:kern w:val="0"/>
                      <w:sz w:val="18"/>
                      <w:szCs w:val="18"/>
                    </w:rPr>
                  </w:pPr>
                  <w:r>
                    <w:rPr>
                      <w:color w:val="auto"/>
                      <w:kern w:val="0"/>
                      <w:sz w:val="18"/>
                      <w:szCs w:val="18"/>
                    </w:rPr>
                    <w:t>北纬32°36′42″</w:t>
                  </w:r>
                </w:p>
              </w:tc>
              <w:tc>
                <w:tcPr>
                  <w:tcW w:w="625" w:type="pct"/>
                  <w:vMerge w:val="continue"/>
                  <w:vAlign w:val="center"/>
                </w:tcPr>
                <w:p>
                  <w:pPr>
                    <w:jc w:val="center"/>
                    <w:rPr>
                      <w:color w:val="auto"/>
                      <w:kern w:val="0"/>
                      <w:sz w:val="18"/>
                      <w:szCs w:val="18"/>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广坪河4段堤防</w:t>
                  </w:r>
                </w:p>
              </w:tc>
              <w:tc>
                <w:tcPr>
                  <w:tcW w:w="546" w:type="pct"/>
                  <w:vAlign w:val="center"/>
                </w:tcPr>
                <w:p>
                  <w:pPr>
                    <w:widowControl/>
                    <w:adjustRightInd w:val="0"/>
                    <w:jc w:val="center"/>
                    <w:rPr>
                      <w:color w:val="auto"/>
                      <w:kern w:val="0"/>
                      <w:sz w:val="18"/>
                      <w:szCs w:val="18"/>
                    </w:rPr>
                  </w:pPr>
                  <w:r>
                    <w:rPr>
                      <w:color w:val="auto"/>
                      <w:kern w:val="0"/>
                      <w:sz w:val="18"/>
                      <w:szCs w:val="18"/>
                    </w:rPr>
                    <w:t>556</w:t>
                  </w:r>
                </w:p>
              </w:tc>
              <w:tc>
                <w:tcPr>
                  <w:tcW w:w="609" w:type="pct"/>
                  <w:vAlign w:val="center"/>
                </w:tcPr>
                <w:p>
                  <w:pPr>
                    <w:widowControl/>
                    <w:adjustRightInd w:val="0"/>
                    <w:jc w:val="center"/>
                    <w:rPr>
                      <w:color w:val="auto"/>
                      <w:kern w:val="0"/>
                      <w:sz w:val="18"/>
                      <w:szCs w:val="18"/>
                    </w:rPr>
                  </w:pPr>
                  <w:r>
                    <w:rPr>
                      <w:color w:val="auto"/>
                      <w:kern w:val="0"/>
                      <w:sz w:val="18"/>
                      <w:szCs w:val="18"/>
                    </w:rPr>
                    <w:t>广左0+000.00</w:t>
                  </w:r>
                </w:p>
              </w:tc>
              <w:tc>
                <w:tcPr>
                  <w:tcW w:w="612" w:type="pct"/>
                  <w:vAlign w:val="center"/>
                </w:tcPr>
                <w:p>
                  <w:pPr>
                    <w:widowControl/>
                    <w:adjustRightInd w:val="0"/>
                    <w:jc w:val="center"/>
                    <w:rPr>
                      <w:color w:val="auto"/>
                      <w:kern w:val="0"/>
                      <w:sz w:val="18"/>
                      <w:szCs w:val="18"/>
                    </w:rPr>
                  </w:pPr>
                  <w:r>
                    <w:rPr>
                      <w:color w:val="auto"/>
                      <w:kern w:val="0"/>
                      <w:sz w:val="18"/>
                      <w:szCs w:val="18"/>
                    </w:rPr>
                    <w:t>广左0+556.00</w:t>
                  </w:r>
                </w:p>
              </w:tc>
              <w:tc>
                <w:tcPr>
                  <w:tcW w:w="863" w:type="pct"/>
                  <w:vAlign w:val="center"/>
                </w:tcPr>
                <w:p>
                  <w:pPr>
                    <w:widowControl/>
                    <w:adjustRightInd w:val="0"/>
                    <w:jc w:val="center"/>
                    <w:rPr>
                      <w:color w:val="auto"/>
                      <w:kern w:val="0"/>
                      <w:sz w:val="18"/>
                      <w:szCs w:val="18"/>
                    </w:rPr>
                  </w:pPr>
                  <w:r>
                    <w:rPr>
                      <w:color w:val="auto"/>
                      <w:kern w:val="0"/>
                      <w:sz w:val="18"/>
                      <w:szCs w:val="18"/>
                    </w:rPr>
                    <w:t>东经105°49′32″</w:t>
                  </w:r>
                </w:p>
                <w:p>
                  <w:pPr>
                    <w:widowControl/>
                    <w:adjustRightInd w:val="0"/>
                    <w:jc w:val="center"/>
                    <w:rPr>
                      <w:color w:val="auto"/>
                      <w:kern w:val="0"/>
                      <w:sz w:val="18"/>
                      <w:szCs w:val="18"/>
                    </w:rPr>
                  </w:pPr>
                  <w:r>
                    <w:rPr>
                      <w:color w:val="auto"/>
                      <w:kern w:val="0"/>
                      <w:sz w:val="18"/>
                      <w:szCs w:val="18"/>
                    </w:rPr>
                    <w:t>北纬32°36′47″</w:t>
                  </w:r>
                </w:p>
              </w:tc>
              <w:tc>
                <w:tcPr>
                  <w:tcW w:w="938" w:type="pct"/>
                  <w:vAlign w:val="center"/>
                </w:tcPr>
                <w:p>
                  <w:pPr>
                    <w:widowControl/>
                    <w:adjustRightInd w:val="0"/>
                    <w:jc w:val="center"/>
                    <w:rPr>
                      <w:color w:val="auto"/>
                      <w:kern w:val="0"/>
                      <w:sz w:val="18"/>
                      <w:szCs w:val="18"/>
                    </w:rPr>
                  </w:pPr>
                  <w:r>
                    <w:rPr>
                      <w:color w:val="auto"/>
                      <w:kern w:val="0"/>
                      <w:sz w:val="18"/>
                      <w:szCs w:val="18"/>
                    </w:rPr>
                    <w:t>东经105°49′46″</w:t>
                  </w:r>
                </w:p>
                <w:p>
                  <w:pPr>
                    <w:widowControl/>
                    <w:adjustRightInd w:val="0"/>
                    <w:jc w:val="center"/>
                    <w:rPr>
                      <w:color w:val="auto"/>
                      <w:kern w:val="0"/>
                      <w:sz w:val="18"/>
                      <w:szCs w:val="18"/>
                    </w:rPr>
                  </w:pPr>
                  <w:r>
                    <w:rPr>
                      <w:color w:val="auto"/>
                      <w:kern w:val="0"/>
                      <w:sz w:val="18"/>
                      <w:szCs w:val="18"/>
                    </w:rPr>
                    <w:t>北纬32°36′34″</w:t>
                  </w:r>
                </w:p>
              </w:tc>
              <w:tc>
                <w:tcPr>
                  <w:tcW w:w="625" w:type="pct"/>
                  <w:vMerge w:val="continue"/>
                  <w:vAlign w:val="center"/>
                </w:tcPr>
                <w:p>
                  <w:pPr>
                    <w:jc w:val="center"/>
                    <w:rPr>
                      <w:color w:val="auto"/>
                      <w:kern w:val="0"/>
                      <w:sz w:val="18"/>
                      <w:szCs w:val="18"/>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广坪河5段堤防</w:t>
                  </w:r>
                </w:p>
              </w:tc>
              <w:tc>
                <w:tcPr>
                  <w:tcW w:w="546" w:type="pct"/>
                  <w:vAlign w:val="center"/>
                </w:tcPr>
                <w:p>
                  <w:pPr>
                    <w:widowControl/>
                    <w:adjustRightInd w:val="0"/>
                    <w:jc w:val="center"/>
                    <w:rPr>
                      <w:color w:val="auto"/>
                      <w:kern w:val="0"/>
                      <w:sz w:val="18"/>
                      <w:szCs w:val="18"/>
                    </w:rPr>
                  </w:pPr>
                  <w:r>
                    <w:rPr>
                      <w:color w:val="auto"/>
                      <w:kern w:val="0"/>
                      <w:sz w:val="18"/>
                      <w:szCs w:val="18"/>
                    </w:rPr>
                    <w:t>350</w:t>
                  </w:r>
                </w:p>
              </w:tc>
              <w:tc>
                <w:tcPr>
                  <w:tcW w:w="609" w:type="pct"/>
                  <w:vAlign w:val="center"/>
                </w:tcPr>
                <w:p>
                  <w:pPr>
                    <w:widowControl/>
                    <w:adjustRightInd w:val="0"/>
                    <w:jc w:val="center"/>
                    <w:rPr>
                      <w:color w:val="auto"/>
                      <w:kern w:val="0"/>
                      <w:sz w:val="18"/>
                      <w:szCs w:val="18"/>
                    </w:rPr>
                  </w:pPr>
                  <w:r>
                    <w:rPr>
                      <w:color w:val="auto"/>
                      <w:kern w:val="0"/>
                      <w:sz w:val="18"/>
                      <w:szCs w:val="18"/>
                    </w:rPr>
                    <w:t>广左0+000.00</w:t>
                  </w:r>
                </w:p>
              </w:tc>
              <w:tc>
                <w:tcPr>
                  <w:tcW w:w="612" w:type="pct"/>
                  <w:vAlign w:val="center"/>
                </w:tcPr>
                <w:p>
                  <w:pPr>
                    <w:widowControl/>
                    <w:adjustRightInd w:val="0"/>
                    <w:jc w:val="center"/>
                    <w:rPr>
                      <w:color w:val="auto"/>
                      <w:kern w:val="0"/>
                      <w:sz w:val="18"/>
                      <w:szCs w:val="18"/>
                    </w:rPr>
                  </w:pPr>
                  <w:r>
                    <w:rPr>
                      <w:color w:val="auto"/>
                      <w:kern w:val="0"/>
                      <w:sz w:val="18"/>
                      <w:szCs w:val="18"/>
                    </w:rPr>
                    <w:t>广左0+350.00</w:t>
                  </w:r>
                </w:p>
              </w:tc>
              <w:tc>
                <w:tcPr>
                  <w:tcW w:w="863" w:type="pct"/>
                  <w:vAlign w:val="center"/>
                </w:tcPr>
                <w:p>
                  <w:pPr>
                    <w:widowControl/>
                    <w:adjustRightInd w:val="0"/>
                    <w:jc w:val="center"/>
                    <w:rPr>
                      <w:color w:val="auto"/>
                      <w:kern w:val="0"/>
                      <w:sz w:val="18"/>
                      <w:szCs w:val="18"/>
                    </w:rPr>
                  </w:pPr>
                  <w:r>
                    <w:rPr>
                      <w:color w:val="auto"/>
                      <w:kern w:val="0"/>
                      <w:sz w:val="18"/>
                      <w:szCs w:val="18"/>
                    </w:rPr>
                    <w:t>东经105°49′27″</w:t>
                  </w:r>
                </w:p>
                <w:p>
                  <w:pPr>
                    <w:widowControl/>
                    <w:adjustRightInd w:val="0"/>
                    <w:jc w:val="center"/>
                    <w:rPr>
                      <w:color w:val="auto"/>
                      <w:kern w:val="0"/>
                      <w:sz w:val="18"/>
                      <w:szCs w:val="18"/>
                    </w:rPr>
                  </w:pPr>
                  <w:r>
                    <w:rPr>
                      <w:color w:val="auto"/>
                      <w:kern w:val="0"/>
                      <w:sz w:val="18"/>
                      <w:szCs w:val="18"/>
                    </w:rPr>
                    <w:t>北纬32°36′21″</w:t>
                  </w:r>
                </w:p>
              </w:tc>
              <w:tc>
                <w:tcPr>
                  <w:tcW w:w="938" w:type="pct"/>
                  <w:vAlign w:val="center"/>
                </w:tcPr>
                <w:p>
                  <w:pPr>
                    <w:widowControl/>
                    <w:adjustRightInd w:val="0"/>
                    <w:jc w:val="center"/>
                    <w:rPr>
                      <w:color w:val="auto"/>
                      <w:kern w:val="0"/>
                      <w:sz w:val="18"/>
                      <w:szCs w:val="18"/>
                    </w:rPr>
                  </w:pPr>
                  <w:r>
                    <w:rPr>
                      <w:color w:val="auto"/>
                      <w:kern w:val="0"/>
                      <w:sz w:val="18"/>
                      <w:szCs w:val="18"/>
                    </w:rPr>
                    <w:t>东经105°49′15″</w:t>
                  </w:r>
                </w:p>
                <w:p>
                  <w:pPr>
                    <w:widowControl/>
                    <w:adjustRightInd w:val="0"/>
                    <w:jc w:val="center"/>
                    <w:rPr>
                      <w:color w:val="auto"/>
                      <w:kern w:val="0"/>
                      <w:sz w:val="18"/>
                      <w:szCs w:val="18"/>
                    </w:rPr>
                  </w:pPr>
                  <w:r>
                    <w:rPr>
                      <w:color w:val="auto"/>
                      <w:kern w:val="0"/>
                      <w:sz w:val="18"/>
                      <w:szCs w:val="18"/>
                    </w:rPr>
                    <w:t>北纬32°36′24″</w:t>
                  </w:r>
                </w:p>
              </w:tc>
              <w:tc>
                <w:tcPr>
                  <w:tcW w:w="625" w:type="pct"/>
                  <w:vMerge w:val="continue"/>
                  <w:vAlign w:val="center"/>
                </w:tcPr>
                <w:p>
                  <w:pPr>
                    <w:jc w:val="center"/>
                    <w:rPr>
                      <w:color w:val="auto"/>
                      <w:kern w:val="0"/>
                      <w:sz w:val="18"/>
                      <w:szCs w:val="18"/>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广坪河6段堤防</w:t>
                  </w:r>
                </w:p>
              </w:tc>
              <w:tc>
                <w:tcPr>
                  <w:tcW w:w="546" w:type="pct"/>
                  <w:vAlign w:val="center"/>
                </w:tcPr>
                <w:p>
                  <w:pPr>
                    <w:widowControl/>
                    <w:adjustRightInd w:val="0"/>
                    <w:jc w:val="center"/>
                    <w:rPr>
                      <w:color w:val="auto"/>
                      <w:kern w:val="0"/>
                      <w:sz w:val="18"/>
                      <w:szCs w:val="18"/>
                    </w:rPr>
                  </w:pPr>
                  <w:r>
                    <w:rPr>
                      <w:color w:val="auto"/>
                      <w:kern w:val="0"/>
                      <w:sz w:val="18"/>
                      <w:szCs w:val="18"/>
                    </w:rPr>
                    <w:t>367</w:t>
                  </w:r>
                </w:p>
              </w:tc>
              <w:tc>
                <w:tcPr>
                  <w:tcW w:w="609" w:type="pct"/>
                  <w:vAlign w:val="center"/>
                </w:tcPr>
                <w:p>
                  <w:pPr>
                    <w:widowControl/>
                    <w:adjustRightInd w:val="0"/>
                    <w:jc w:val="center"/>
                    <w:rPr>
                      <w:color w:val="auto"/>
                      <w:kern w:val="0"/>
                      <w:sz w:val="18"/>
                      <w:szCs w:val="18"/>
                    </w:rPr>
                  </w:pPr>
                  <w:r>
                    <w:rPr>
                      <w:color w:val="auto"/>
                      <w:kern w:val="0"/>
                      <w:sz w:val="18"/>
                      <w:szCs w:val="18"/>
                    </w:rPr>
                    <w:t>广右0+000.00</w:t>
                  </w:r>
                </w:p>
              </w:tc>
              <w:tc>
                <w:tcPr>
                  <w:tcW w:w="612" w:type="pct"/>
                  <w:vAlign w:val="center"/>
                </w:tcPr>
                <w:p>
                  <w:pPr>
                    <w:widowControl/>
                    <w:adjustRightInd w:val="0"/>
                    <w:jc w:val="center"/>
                    <w:rPr>
                      <w:color w:val="auto"/>
                      <w:kern w:val="0"/>
                      <w:sz w:val="18"/>
                      <w:szCs w:val="18"/>
                    </w:rPr>
                  </w:pPr>
                  <w:r>
                    <w:rPr>
                      <w:color w:val="auto"/>
                      <w:kern w:val="0"/>
                      <w:sz w:val="18"/>
                      <w:szCs w:val="18"/>
                    </w:rPr>
                    <w:t>广右0+367.00</w:t>
                  </w:r>
                </w:p>
              </w:tc>
              <w:tc>
                <w:tcPr>
                  <w:tcW w:w="863" w:type="pct"/>
                  <w:vAlign w:val="center"/>
                </w:tcPr>
                <w:p>
                  <w:pPr>
                    <w:widowControl/>
                    <w:adjustRightInd w:val="0"/>
                    <w:jc w:val="center"/>
                    <w:rPr>
                      <w:color w:val="auto"/>
                      <w:kern w:val="0"/>
                      <w:sz w:val="18"/>
                      <w:szCs w:val="18"/>
                    </w:rPr>
                  </w:pPr>
                  <w:r>
                    <w:rPr>
                      <w:color w:val="auto"/>
                      <w:kern w:val="0"/>
                      <w:sz w:val="18"/>
                      <w:szCs w:val="18"/>
                    </w:rPr>
                    <w:t>东经105°49′14″</w:t>
                  </w:r>
                </w:p>
                <w:p>
                  <w:pPr>
                    <w:widowControl/>
                    <w:adjustRightInd w:val="0"/>
                    <w:jc w:val="center"/>
                    <w:rPr>
                      <w:color w:val="auto"/>
                      <w:kern w:val="0"/>
                      <w:sz w:val="18"/>
                      <w:szCs w:val="18"/>
                    </w:rPr>
                  </w:pPr>
                  <w:r>
                    <w:rPr>
                      <w:color w:val="auto"/>
                      <w:kern w:val="0"/>
                      <w:sz w:val="18"/>
                      <w:szCs w:val="18"/>
                    </w:rPr>
                    <w:t>北纬32°36′19″</w:t>
                  </w:r>
                </w:p>
              </w:tc>
              <w:tc>
                <w:tcPr>
                  <w:tcW w:w="938" w:type="pct"/>
                  <w:vAlign w:val="center"/>
                </w:tcPr>
                <w:p>
                  <w:pPr>
                    <w:widowControl/>
                    <w:adjustRightInd w:val="0"/>
                    <w:jc w:val="center"/>
                    <w:rPr>
                      <w:color w:val="auto"/>
                      <w:kern w:val="0"/>
                      <w:sz w:val="18"/>
                      <w:szCs w:val="18"/>
                    </w:rPr>
                  </w:pPr>
                  <w:r>
                    <w:rPr>
                      <w:color w:val="auto"/>
                      <w:kern w:val="0"/>
                      <w:sz w:val="18"/>
                      <w:szCs w:val="18"/>
                    </w:rPr>
                    <w:t>东经105°49′5″</w:t>
                  </w:r>
                </w:p>
                <w:p>
                  <w:pPr>
                    <w:widowControl/>
                    <w:adjustRightInd w:val="0"/>
                    <w:jc w:val="center"/>
                    <w:rPr>
                      <w:color w:val="auto"/>
                      <w:kern w:val="0"/>
                      <w:sz w:val="18"/>
                      <w:szCs w:val="18"/>
                    </w:rPr>
                  </w:pPr>
                  <w:r>
                    <w:rPr>
                      <w:color w:val="auto"/>
                      <w:kern w:val="0"/>
                      <w:sz w:val="18"/>
                      <w:szCs w:val="18"/>
                    </w:rPr>
                    <w:t>北纬32°36′27″</w:t>
                  </w:r>
                </w:p>
              </w:tc>
              <w:tc>
                <w:tcPr>
                  <w:tcW w:w="625" w:type="pct"/>
                  <w:vAlign w:val="center"/>
                </w:tcPr>
                <w:p>
                  <w:pPr>
                    <w:jc w:val="center"/>
                    <w:rPr>
                      <w:color w:val="auto"/>
                      <w:kern w:val="0"/>
                      <w:sz w:val="18"/>
                      <w:szCs w:val="18"/>
                    </w:rPr>
                  </w:pPr>
                  <w:r>
                    <w:rPr>
                      <w:b/>
                      <w:bCs/>
                      <w:color w:val="auto"/>
                      <w:kern w:val="0"/>
                      <w:sz w:val="18"/>
                      <w:szCs w:val="18"/>
                    </w:rPr>
                    <w:t>不予实施</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gridSpan w:val="2"/>
                  <w:vAlign w:val="center"/>
                </w:tcPr>
                <w:p>
                  <w:pPr>
                    <w:widowControl/>
                    <w:spacing w:line="300" w:lineRule="exact"/>
                    <w:jc w:val="center"/>
                    <w:rPr>
                      <w:color w:val="auto"/>
                      <w:kern w:val="0"/>
                      <w:szCs w:val="21"/>
                    </w:rPr>
                  </w:pPr>
                  <w:r>
                    <w:rPr>
                      <w:color w:val="auto"/>
                      <w:kern w:val="0"/>
                      <w:szCs w:val="21"/>
                    </w:rPr>
                    <w:t>合计</w:t>
                  </w:r>
                </w:p>
              </w:tc>
              <w:tc>
                <w:tcPr>
                  <w:tcW w:w="546" w:type="pct"/>
                  <w:vAlign w:val="center"/>
                </w:tcPr>
                <w:p>
                  <w:pPr>
                    <w:widowControl/>
                    <w:adjustRightInd w:val="0"/>
                    <w:jc w:val="center"/>
                    <w:rPr>
                      <w:color w:val="auto"/>
                      <w:kern w:val="0"/>
                      <w:szCs w:val="21"/>
                    </w:rPr>
                  </w:pPr>
                  <w:r>
                    <w:rPr>
                      <w:color w:val="auto"/>
                      <w:kern w:val="0"/>
                      <w:szCs w:val="21"/>
                    </w:rPr>
                    <w:t>3668</w:t>
                  </w:r>
                </w:p>
              </w:tc>
              <w:tc>
                <w:tcPr>
                  <w:tcW w:w="609" w:type="pct"/>
                  <w:vAlign w:val="center"/>
                </w:tcPr>
                <w:p>
                  <w:pPr>
                    <w:widowControl/>
                    <w:adjustRightInd w:val="0"/>
                    <w:jc w:val="center"/>
                    <w:rPr>
                      <w:color w:val="auto"/>
                      <w:kern w:val="0"/>
                      <w:sz w:val="18"/>
                      <w:szCs w:val="18"/>
                    </w:rPr>
                  </w:pPr>
                </w:p>
              </w:tc>
              <w:tc>
                <w:tcPr>
                  <w:tcW w:w="612" w:type="pct"/>
                  <w:vAlign w:val="center"/>
                </w:tcPr>
                <w:p>
                  <w:pPr>
                    <w:widowControl/>
                    <w:adjustRightInd w:val="0"/>
                    <w:jc w:val="center"/>
                    <w:rPr>
                      <w:color w:val="auto"/>
                      <w:kern w:val="0"/>
                      <w:sz w:val="18"/>
                      <w:szCs w:val="18"/>
                    </w:rPr>
                  </w:pPr>
                </w:p>
              </w:tc>
              <w:tc>
                <w:tcPr>
                  <w:tcW w:w="863" w:type="pct"/>
                  <w:vAlign w:val="center"/>
                </w:tcPr>
                <w:p>
                  <w:pPr>
                    <w:jc w:val="center"/>
                    <w:rPr>
                      <w:color w:val="auto"/>
                      <w:kern w:val="0"/>
                      <w:sz w:val="18"/>
                      <w:szCs w:val="18"/>
                    </w:rPr>
                  </w:pPr>
                </w:p>
              </w:tc>
              <w:tc>
                <w:tcPr>
                  <w:tcW w:w="938" w:type="pct"/>
                  <w:vAlign w:val="center"/>
                </w:tcPr>
                <w:p>
                  <w:pPr>
                    <w:jc w:val="center"/>
                    <w:rPr>
                      <w:color w:val="auto"/>
                      <w:kern w:val="0"/>
                      <w:sz w:val="18"/>
                      <w:szCs w:val="18"/>
                    </w:rPr>
                  </w:pPr>
                </w:p>
              </w:tc>
              <w:tc>
                <w:tcPr>
                  <w:tcW w:w="625" w:type="pct"/>
                  <w:vAlign w:val="center"/>
                </w:tcPr>
                <w:p>
                  <w:pPr>
                    <w:jc w:val="center"/>
                    <w:rPr>
                      <w:color w:val="auto"/>
                      <w:kern w:val="0"/>
                      <w:szCs w:val="21"/>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restart"/>
                  <w:vAlign w:val="center"/>
                </w:tcPr>
                <w:p>
                  <w:pPr>
                    <w:widowControl/>
                    <w:spacing w:line="300" w:lineRule="exact"/>
                    <w:jc w:val="center"/>
                    <w:rPr>
                      <w:color w:val="auto"/>
                      <w:kern w:val="0"/>
                      <w:szCs w:val="21"/>
                    </w:rPr>
                  </w:pPr>
                  <w:r>
                    <w:rPr>
                      <w:color w:val="auto"/>
                      <w:kern w:val="0"/>
                      <w:szCs w:val="21"/>
                    </w:rPr>
                    <w:t>清淤疏浚</w:t>
                  </w:r>
                </w:p>
              </w:tc>
              <w:tc>
                <w:tcPr>
                  <w:tcW w:w="482" w:type="pct"/>
                  <w:vAlign w:val="center"/>
                </w:tcPr>
                <w:p>
                  <w:pPr>
                    <w:widowControl/>
                    <w:spacing w:line="300" w:lineRule="exact"/>
                    <w:jc w:val="center"/>
                    <w:rPr>
                      <w:color w:val="auto"/>
                      <w:kern w:val="0"/>
                      <w:sz w:val="18"/>
                      <w:szCs w:val="18"/>
                    </w:rPr>
                  </w:pPr>
                  <w:r>
                    <w:rPr>
                      <w:color w:val="auto"/>
                      <w:kern w:val="0"/>
                      <w:sz w:val="18"/>
                      <w:szCs w:val="18"/>
                    </w:rPr>
                    <w:t>清淤Ⅰ区</w:t>
                  </w:r>
                </w:p>
              </w:tc>
              <w:tc>
                <w:tcPr>
                  <w:tcW w:w="546" w:type="pct"/>
                  <w:vAlign w:val="center"/>
                </w:tcPr>
                <w:p>
                  <w:pPr>
                    <w:widowControl/>
                    <w:adjustRightInd w:val="0"/>
                    <w:jc w:val="center"/>
                    <w:rPr>
                      <w:color w:val="auto"/>
                      <w:kern w:val="0"/>
                      <w:sz w:val="18"/>
                      <w:szCs w:val="18"/>
                    </w:rPr>
                  </w:pPr>
                  <w:r>
                    <w:rPr>
                      <w:color w:val="auto"/>
                      <w:kern w:val="0"/>
                      <w:sz w:val="18"/>
                      <w:szCs w:val="18"/>
                    </w:rPr>
                    <w:t>850</w:t>
                  </w:r>
                </w:p>
              </w:tc>
              <w:tc>
                <w:tcPr>
                  <w:tcW w:w="609" w:type="pct"/>
                  <w:vAlign w:val="center"/>
                </w:tcPr>
                <w:p>
                  <w:pPr>
                    <w:widowControl/>
                    <w:adjustRightInd w:val="0"/>
                    <w:jc w:val="center"/>
                    <w:rPr>
                      <w:color w:val="auto"/>
                      <w:kern w:val="0"/>
                      <w:sz w:val="18"/>
                      <w:szCs w:val="18"/>
                    </w:rPr>
                  </w:pPr>
                  <w:r>
                    <w:rPr>
                      <w:color w:val="auto"/>
                      <w:kern w:val="0"/>
                      <w:sz w:val="18"/>
                      <w:szCs w:val="18"/>
                    </w:rPr>
                    <w:t>广K0+800.00</w:t>
                  </w:r>
                </w:p>
              </w:tc>
              <w:tc>
                <w:tcPr>
                  <w:tcW w:w="612" w:type="pct"/>
                  <w:vAlign w:val="center"/>
                </w:tcPr>
                <w:p>
                  <w:pPr>
                    <w:widowControl/>
                    <w:adjustRightInd w:val="0"/>
                    <w:jc w:val="center"/>
                    <w:rPr>
                      <w:color w:val="auto"/>
                      <w:kern w:val="0"/>
                      <w:sz w:val="18"/>
                      <w:szCs w:val="18"/>
                    </w:rPr>
                  </w:pPr>
                  <w:r>
                    <w:rPr>
                      <w:color w:val="auto"/>
                      <w:kern w:val="0"/>
                      <w:sz w:val="18"/>
                      <w:szCs w:val="18"/>
                    </w:rPr>
                    <w:t>广K1+650.00</w:t>
                  </w:r>
                </w:p>
              </w:tc>
              <w:tc>
                <w:tcPr>
                  <w:tcW w:w="863" w:type="pct"/>
                  <w:vAlign w:val="center"/>
                </w:tcPr>
                <w:p>
                  <w:pPr>
                    <w:widowControl/>
                    <w:adjustRightInd w:val="0"/>
                    <w:jc w:val="center"/>
                    <w:rPr>
                      <w:color w:val="auto"/>
                      <w:kern w:val="0"/>
                      <w:sz w:val="18"/>
                      <w:szCs w:val="18"/>
                    </w:rPr>
                  </w:pPr>
                  <w:r>
                    <w:rPr>
                      <w:color w:val="auto"/>
                      <w:kern w:val="0"/>
                      <w:sz w:val="18"/>
                      <w:szCs w:val="18"/>
                    </w:rPr>
                    <w:t>东经105°50′49″</w:t>
                  </w:r>
                </w:p>
                <w:p>
                  <w:pPr>
                    <w:widowControl/>
                    <w:adjustRightInd w:val="0"/>
                    <w:jc w:val="center"/>
                    <w:rPr>
                      <w:color w:val="auto"/>
                      <w:kern w:val="0"/>
                      <w:sz w:val="18"/>
                      <w:szCs w:val="18"/>
                    </w:rPr>
                  </w:pPr>
                  <w:r>
                    <w:rPr>
                      <w:color w:val="auto"/>
                      <w:kern w:val="0"/>
                      <w:sz w:val="18"/>
                      <w:szCs w:val="18"/>
                    </w:rPr>
                    <w:t>北纬32°36′55″</w:t>
                  </w:r>
                </w:p>
              </w:tc>
              <w:tc>
                <w:tcPr>
                  <w:tcW w:w="938" w:type="pct"/>
                  <w:vAlign w:val="center"/>
                </w:tcPr>
                <w:p>
                  <w:pPr>
                    <w:widowControl/>
                    <w:adjustRightInd w:val="0"/>
                    <w:jc w:val="center"/>
                    <w:rPr>
                      <w:color w:val="auto"/>
                      <w:kern w:val="0"/>
                      <w:sz w:val="18"/>
                      <w:szCs w:val="18"/>
                    </w:rPr>
                  </w:pPr>
                  <w:r>
                    <w:rPr>
                      <w:color w:val="auto"/>
                      <w:kern w:val="0"/>
                      <w:sz w:val="18"/>
                      <w:szCs w:val="18"/>
                    </w:rPr>
                    <w:t>东经105°50′25″</w:t>
                  </w:r>
                </w:p>
                <w:p>
                  <w:pPr>
                    <w:widowControl/>
                    <w:adjustRightInd w:val="0"/>
                    <w:jc w:val="center"/>
                    <w:rPr>
                      <w:color w:val="auto"/>
                      <w:kern w:val="0"/>
                      <w:sz w:val="18"/>
                      <w:szCs w:val="18"/>
                    </w:rPr>
                  </w:pPr>
                  <w:r>
                    <w:rPr>
                      <w:color w:val="auto"/>
                      <w:kern w:val="0"/>
                      <w:sz w:val="18"/>
                      <w:szCs w:val="18"/>
                    </w:rPr>
                    <w:t>北纬32°36′57″</w:t>
                  </w:r>
                </w:p>
              </w:tc>
              <w:tc>
                <w:tcPr>
                  <w:tcW w:w="625" w:type="pct"/>
                  <w:vAlign w:val="center"/>
                </w:tcPr>
                <w:p>
                  <w:pPr>
                    <w:widowControl/>
                    <w:adjustRightInd w:val="0"/>
                    <w:jc w:val="center"/>
                    <w:rPr>
                      <w:b/>
                      <w:bCs/>
                      <w:color w:val="auto"/>
                      <w:kern w:val="0"/>
                      <w:sz w:val="18"/>
                      <w:szCs w:val="18"/>
                    </w:rPr>
                  </w:pPr>
                  <w:r>
                    <w:rPr>
                      <w:b/>
                      <w:bCs/>
                      <w:color w:val="auto"/>
                      <w:kern w:val="0"/>
                      <w:sz w:val="18"/>
                      <w:szCs w:val="18"/>
                    </w:rPr>
                    <w:t>不予实施</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清淤Ⅱ区</w:t>
                  </w:r>
                </w:p>
              </w:tc>
              <w:tc>
                <w:tcPr>
                  <w:tcW w:w="546" w:type="pct"/>
                  <w:vAlign w:val="center"/>
                </w:tcPr>
                <w:p>
                  <w:pPr>
                    <w:widowControl/>
                    <w:adjustRightInd w:val="0"/>
                    <w:jc w:val="center"/>
                    <w:rPr>
                      <w:color w:val="auto"/>
                      <w:kern w:val="0"/>
                      <w:sz w:val="18"/>
                      <w:szCs w:val="18"/>
                    </w:rPr>
                  </w:pPr>
                  <w:r>
                    <w:rPr>
                      <w:color w:val="auto"/>
                      <w:kern w:val="0"/>
                      <w:sz w:val="18"/>
                      <w:szCs w:val="18"/>
                    </w:rPr>
                    <w:t>580</w:t>
                  </w:r>
                </w:p>
              </w:tc>
              <w:tc>
                <w:tcPr>
                  <w:tcW w:w="609" w:type="pct"/>
                  <w:vAlign w:val="center"/>
                </w:tcPr>
                <w:p>
                  <w:pPr>
                    <w:widowControl/>
                    <w:adjustRightInd w:val="0"/>
                    <w:jc w:val="center"/>
                    <w:rPr>
                      <w:color w:val="auto"/>
                      <w:kern w:val="0"/>
                      <w:sz w:val="18"/>
                      <w:szCs w:val="18"/>
                    </w:rPr>
                  </w:pPr>
                  <w:r>
                    <w:rPr>
                      <w:color w:val="auto"/>
                      <w:kern w:val="0"/>
                      <w:sz w:val="18"/>
                      <w:szCs w:val="18"/>
                    </w:rPr>
                    <w:t>广K2+200.00</w:t>
                  </w:r>
                </w:p>
              </w:tc>
              <w:tc>
                <w:tcPr>
                  <w:tcW w:w="612" w:type="pct"/>
                  <w:vAlign w:val="center"/>
                </w:tcPr>
                <w:p>
                  <w:pPr>
                    <w:widowControl/>
                    <w:adjustRightInd w:val="0"/>
                    <w:jc w:val="center"/>
                    <w:rPr>
                      <w:color w:val="auto"/>
                      <w:kern w:val="0"/>
                      <w:sz w:val="18"/>
                      <w:szCs w:val="18"/>
                    </w:rPr>
                  </w:pPr>
                  <w:r>
                    <w:rPr>
                      <w:color w:val="auto"/>
                      <w:kern w:val="0"/>
                      <w:sz w:val="18"/>
                      <w:szCs w:val="18"/>
                    </w:rPr>
                    <w:t>广K2+780.00</w:t>
                  </w:r>
                </w:p>
              </w:tc>
              <w:tc>
                <w:tcPr>
                  <w:tcW w:w="863" w:type="pct"/>
                  <w:vAlign w:val="center"/>
                </w:tcPr>
                <w:p>
                  <w:pPr>
                    <w:widowControl/>
                    <w:adjustRightInd w:val="0"/>
                    <w:jc w:val="center"/>
                    <w:rPr>
                      <w:color w:val="auto"/>
                      <w:kern w:val="0"/>
                      <w:sz w:val="18"/>
                      <w:szCs w:val="18"/>
                    </w:rPr>
                  </w:pPr>
                  <w:r>
                    <w:rPr>
                      <w:color w:val="auto"/>
                      <w:kern w:val="0"/>
                      <w:sz w:val="18"/>
                      <w:szCs w:val="18"/>
                    </w:rPr>
                    <w:t>东经105°50′11.″</w:t>
                  </w:r>
                </w:p>
                <w:p>
                  <w:pPr>
                    <w:widowControl/>
                    <w:adjustRightInd w:val="0"/>
                    <w:jc w:val="center"/>
                    <w:rPr>
                      <w:color w:val="auto"/>
                      <w:kern w:val="0"/>
                      <w:sz w:val="18"/>
                      <w:szCs w:val="18"/>
                    </w:rPr>
                  </w:pPr>
                  <w:r>
                    <w:rPr>
                      <w:color w:val="auto"/>
                      <w:kern w:val="0"/>
                      <w:sz w:val="18"/>
                      <w:szCs w:val="18"/>
                    </w:rPr>
                    <w:t>北纬32°37′5″</w:t>
                  </w:r>
                </w:p>
              </w:tc>
              <w:tc>
                <w:tcPr>
                  <w:tcW w:w="938" w:type="pct"/>
                  <w:vAlign w:val="center"/>
                </w:tcPr>
                <w:p>
                  <w:pPr>
                    <w:widowControl/>
                    <w:adjustRightInd w:val="0"/>
                    <w:jc w:val="center"/>
                    <w:rPr>
                      <w:color w:val="auto"/>
                      <w:kern w:val="0"/>
                      <w:sz w:val="18"/>
                      <w:szCs w:val="18"/>
                    </w:rPr>
                  </w:pPr>
                  <w:r>
                    <w:rPr>
                      <w:color w:val="auto"/>
                      <w:kern w:val="0"/>
                      <w:sz w:val="18"/>
                      <w:szCs w:val="18"/>
                    </w:rPr>
                    <w:t>东经105°49′54″</w:t>
                  </w:r>
                </w:p>
                <w:p>
                  <w:pPr>
                    <w:widowControl/>
                    <w:adjustRightInd w:val="0"/>
                    <w:jc w:val="center"/>
                    <w:rPr>
                      <w:color w:val="auto"/>
                      <w:kern w:val="0"/>
                      <w:sz w:val="18"/>
                      <w:szCs w:val="18"/>
                    </w:rPr>
                  </w:pPr>
                  <w:r>
                    <w:rPr>
                      <w:color w:val="auto"/>
                      <w:kern w:val="0"/>
                      <w:sz w:val="18"/>
                      <w:szCs w:val="18"/>
                    </w:rPr>
                    <w:t>北纬32°37′0″</w:t>
                  </w:r>
                </w:p>
              </w:tc>
              <w:tc>
                <w:tcPr>
                  <w:tcW w:w="625" w:type="pct"/>
                  <w:vAlign w:val="center"/>
                </w:tcPr>
                <w:p>
                  <w:pPr>
                    <w:widowControl/>
                    <w:adjustRightInd w:val="0"/>
                    <w:jc w:val="center"/>
                    <w:rPr>
                      <w:b/>
                      <w:bCs/>
                      <w:color w:val="auto"/>
                      <w:kern w:val="0"/>
                      <w:sz w:val="18"/>
                      <w:szCs w:val="18"/>
                    </w:rPr>
                  </w:pPr>
                  <w:r>
                    <w:rPr>
                      <w:b/>
                      <w:bCs/>
                      <w:color w:val="auto"/>
                      <w:kern w:val="0"/>
                      <w:sz w:val="18"/>
                      <w:szCs w:val="18"/>
                    </w:rPr>
                    <w:t>不予实施</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清淤Ⅲ区</w:t>
                  </w:r>
                </w:p>
              </w:tc>
              <w:tc>
                <w:tcPr>
                  <w:tcW w:w="546" w:type="pct"/>
                  <w:vAlign w:val="center"/>
                </w:tcPr>
                <w:p>
                  <w:pPr>
                    <w:widowControl/>
                    <w:adjustRightInd w:val="0"/>
                    <w:jc w:val="center"/>
                    <w:rPr>
                      <w:color w:val="auto"/>
                      <w:kern w:val="0"/>
                      <w:sz w:val="18"/>
                      <w:szCs w:val="18"/>
                    </w:rPr>
                  </w:pPr>
                  <w:r>
                    <w:rPr>
                      <w:color w:val="auto"/>
                      <w:kern w:val="0"/>
                      <w:sz w:val="18"/>
                      <w:szCs w:val="18"/>
                    </w:rPr>
                    <w:t>780</w:t>
                  </w:r>
                </w:p>
              </w:tc>
              <w:tc>
                <w:tcPr>
                  <w:tcW w:w="609" w:type="pct"/>
                  <w:vAlign w:val="center"/>
                </w:tcPr>
                <w:p>
                  <w:pPr>
                    <w:widowControl/>
                    <w:adjustRightInd w:val="0"/>
                    <w:jc w:val="center"/>
                    <w:rPr>
                      <w:color w:val="auto"/>
                      <w:kern w:val="0"/>
                      <w:sz w:val="18"/>
                      <w:szCs w:val="18"/>
                    </w:rPr>
                  </w:pPr>
                  <w:r>
                    <w:rPr>
                      <w:color w:val="auto"/>
                      <w:kern w:val="0"/>
                      <w:sz w:val="18"/>
                      <w:szCs w:val="18"/>
                    </w:rPr>
                    <w:t>广K2+800.00</w:t>
                  </w:r>
                </w:p>
              </w:tc>
              <w:tc>
                <w:tcPr>
                  <w:tcW w:w="612" w:type="pct"/>
                  <w:vAlign w:val="center"/>
                </w:tcPr>
                <w:p>
                  <w:pPr>
                    <w:widowControl/>
                    <w:adjustRightInd w:val="0"/>
                    <w:jc w:val="center"/>
                    <w:rPr>
                      <w:color w:val="auto"/>
                      <w:kern w:val="0"/>
                      <w:sz w:val="18"/>
                      <w:szCs w:val="18"/>
                    </w:rPr>
                  </w:pPr>
                  <w:r>
                    <w:rPr>
                      <w:color w:val="auto"/>
                      <w:kern w:val="0"/>
                      <w:sz w:val="18"/>
                      <w:szCs w:val="18"/>
                    </w:rPr>
                    <w:t>广K3+580.00</w:t>
                  </w:r>
                </w:p>
              </w:tc>
              <w:tc>
                <w:tcPr>
                  <w:tcW w:w="863" w:type="pct"/>
                  <w:vAlign w:val="center"/>
                </w:tcPr>
                <w:p>
                  <w:pPr>
                    <w:widowControl/>
                    <w:adjustRightInd w:val="0"/>
                    <w:jc w:val="center"/>
                    <w:rPr>
                      <w:color w:val="auto"/>
                      <w:kern w:val="0"/>
                      <w:sz w:val="18"/>
                      <w:szCs w:val="18"/>
                    </w:rPr>
                  </w:pPr>
                  <w:r>
                    <w:rPr>
                      <w:color w:val="auto"/>
                      <w:kern w:val="0"/>
                      <w:sz w:val="18"/>
                      <w:szCs w:val="18"/>
                    </w:rPr>
                    <w:t>东经105°49′51″</w:t>
                  </w:r>
                </w:p>
                <w:p>
                  <w:pPr>
                    <w:widowControl/>
                    <w:adjustRightInd w:val="0"/>
                    <w:jc w:val="center"/>
                    <w:rPr>
                      <w:color w:val="auto"/>
                      <w:kern w:val="0"/>
                      <w:sz w:val="18"/>
                      <w:szCs w:val="18"/>
                    </w:rPr>
                  </w:pPr>
                  <w:r>
                    <w:rPr>
                      <w:color w:val="auto"/>
                      <w:kern w:val="0"/>
                      <w:sz w:val="18"/>
                      <w:szCs w:val="18"/>
                    </w:rPr>
                    <w:t>北纬32°36′58″</w:t>
                  </w:r>
                </w:p>
              </w:tc>
              <w:tc>
                <w:tcPr>
                  <w:tcW w:w="938" w:type="pct"/>
                  <w:vAlign w:val="center"/>
                </w:tcPr>
                <w:p>
                  <w:pPr>
                    <w:widowControl/>
                    <w:adjustRightInd w:val="0"/>
                    <w:jc w:val="center"/>
                    <w:rPr>
                      <w:color w:val="auto"/>
                      <w:kern w:val="0"/>
                      <w:sz w:val="18"/>
                      <w:szCs w:val="18"/>
                    </w:rPr>
                  </w:pPr>
                  <w:r>
                    <w:rPr>
                      <w:color w:val="auto"/>
                      <w:kern w:val="0"/>
                      <w:sz w:val="18"/>
                      <w:szCs w:val="18"/>
                    </w:rPr>
                    <w:t>东经105°49′40″</w:t>
                  </w:r>
                </w:p>
                <w:p>
                  <w:pPr>
                    <w:widowControl/>
                    <w:adjustRightInd w:val="0"/>
                    <w:jc w:val="center"/>
                    <w:rPr>
                      <w:color w:val="auto"/>
                      <w:kern w:val="0"/>
                      <w:sz w:val="18"/>
                      <w:szCs w:val="18"/>
                    </w:rPr>
                  </w:pPr>
                  <w:r>
                    <w:rPr>
                      <w:color w:val="auto"/>
                      <w:kern w:val="0"/>
                      <w:sz w:val="18"/>
                      <w:szCs w:val="18"/>
                    </w:rPr>
                    <w:t>北纬32°36′41″</w:t>
                  </w:r>
                </w:p>
              </w:tc>
              <w:tc>
                <w:tcPr>
                  <w:tcW w:w="625" w:type="pct"/>
                  <w:vMerge w:val="restart"/>
                  <w:vAlign w:val="center"/>
                </w:tcPr>
                <w:p>
                  <w:pPr>
                    <w:widowControl/>
                    <w:adjustRightInd w:val="0"/>
                    <w:jc w:val="center"/>
                    <w:rPr>
                      <w:rFonts w:hint="eastAsia" w:eastAsia="宋体"/>
                      <w:color w:val="auto"/>
                      <w:kern w:val="0"/>
                      <w:sz w:val="18"/>
                      <w:szCs w:val="18"/>
                      <w:lang w:val="en-US" w:eastAsia="zh-CN"/>
                    </w:rPr>
                  </w:pPr>
                  <w:r>
                    <w:rPr>
                      <w:rFonts w:hint="eastAsia"/>
                      <w:color w:val="auto"/>
                      <w:kern w:val="0"/>
                      <w:sz w:val="18"/>
                      <w:szCs w:val="18"/>
                      <w:lang w:val="en-US" w:eastAsia="zh-CN"/>
                    </w:rPr>
                    <w:t>已实施</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清淤Ⅳ区</w:t>
                  </w:r>
                </w:p>
              </w:tc>
              <w:tc>
                <w:tcPr>
                  <w:tcW w:w="546" w:type="pct"/>
                  <w:vAlign w:val="center"/>
                </w:tcPr>
                <w:p>
                  <w:pPr>
                    <w:widowControl/>
                    <w:adjustRightInd w:val="0"/>
                    <w:jc w:val="center"/>
                    <w:rPr>
                      <w:color w:val="auto"/>
                      <w:kern w:val="0"/>
                      <w:sz w:val="18"/>
                      <w:szCs w:val="18"/>
                    </w:rPr>
                  </w:pPr>
                  <w:r>
                    <w:rPr>
                      <w:color w:val="auto"/>
                      <w:kern w:val="0"/>
                      <w:sz w:val="18"/>
                      <w:szCs w:val="18"/>
                    </w:rPr>
                    <w:t>520</w:t>
                  </w:r>
                </w:p>
              </w:tc>
              <w:tc>
                <w:tcPr>
                  <w:tcW w:w="609" w:type="pct"/>
                  <w:vAlign w:val="center"/>
                </w:tcPr>
                <w:p>
                  <w:pPr>
                    <w:widowControl/>
                    <w:adjustRightInd w:val="0"/>
                    <w:jc w:val="center"/>
                    <w:rPr>
                      <w:color w:val="auto"/>
                      <w:kern w:val="0"/>
                      <w:sz w:val="18"/>
                      <w:szCs w:val="18"/>
                    </w:rPr>
                  </w:pPr>
                  <w:r>
                    <w:rPr>
                      <w:color w:val="auto"/>
                      <w:kern w:val="0"/>
                      <w:sz w:val="18"/>
                      <w:szCs w:val="18"/>
                    </w:rPr>
                    <w:t>广K4+000.00</w:t>
                  </w:r>
                </w:p>
              </w:tc>
              <w:tc>
                <w:tcPr>
                  <w:tcW w:w="612" w:type="pct"/>
                  <w:vAlign w:val="center"/>
                </w:tcPr>
                <w:p>
                  <w:pPr>
                    <w:widowControl/>
                    <w:adjustRightInd w:val="0"/>
                    <w:jc w:val="center"/>
                    <w:rPr>
                      <w:color w:val="auto"/>
                      <w:kern w:val="0"/>
                      <w:sz w:val="18"/>
                      <w:szCs w:val="18"/>
                    </w:rPr>
                  </w:pPr>
                  <w:r>
                    <w:rPr>
                      <w:color w:val="auto"/>
                      <w:kern w:val="0"/>
                      <w:sz w:val="18"/>
                      <w:szCs w:val="18"/>
                    </w:rPr>
                    <w:t>广K4+520.00</w:t>
                  </w:r>
                </w:p>
              </w:tc>
              <w:tc>
                <w:tcPr>
                  <w:tcW w:w="863" w:type="pct"/>
                  <w:vAlign w:val="center"/>
                </w:tcPr>
                <w:p>
                  <w:pPr>
                    <w:widowControl/>
                    <w:adjustRightInd w:val="0"/>
                    <w:jc w:val="center"/>
                    <w:rPr>
                      <w:color w:val="auto"/>
                      <w:kern w:val="0"/>
                      <w:sz w:val="18"/>
                      <w:szCs w:val="18"/>
                    </w:rPr>
                  </w:pPr>
                  <w:r>
                    <w:rPr>
                      <w:color w:val="auto"/>
                      <w:kern w:val="0"/>
                      <w:sz w:val="18"/>
                      <w:szCs w:val="18"/>
                    </w:rPr>
                    <w:t>东经105°49′53″</w:t>
                  </w:r>
                </w:p>
                <w:p>
                  <w:pPr>
                    <w:widowControl/>
                    <w:adjustRightInd w:val="0"/>
                    <w:jc w:val="center"/>
                    <w:rPr>
                      <w:color w:val="auto"/>
                      <w:kern w:val="0"/>
                      <w:sz w:val="18"/>
                      <w:szCs w:val="18"/>
                    </w:rPr>
                  </w:pPr>
                  <w:r>
                    <w:rPr>
                      <w:color w:val="auto"/>
                      <w:kern w:val="0"/>
                      <w:sz w:val="18"/>
                      <w:szCs w:val="18"/>
                    </w:rPr>
                    <w:t>北纬32°36′26″</w:t>
                  </w:r>
                </w:p>
              </w:tc>
              <w:tc>
                <w:tcPr>
                  <w:tcW w:w="938" w:type="pct"/>
                  <w:vAlign w:val="center"/>
                </w:tcPr>
                <w:p>
                  <w:pPr>
                    <w:widowControl/>
                    <w:adjustRightInd w:val="0"/>
                    <w:jc w:val="center"/>
                    <w:rPr>
                      <w:color w:val="auto"/>
                      <w:kern w:val="0"/>
                      <w:sz w:val="18"/>
                      <w:szCs w:val="18"/>
                    </w:rPr>
                  </w:pPr>
                  <w:r>
                    <w:rPr>
                      <w:color w:val="auto"/>
                      <w:kern w:val="0"/>
                      <w:sz w:val="18"/>
                      <w:szCs w:val="18"/>
                    </w:rPr>
                    <w:t>东经105°49′48″</w:t>
                  </w:r>
                </w:p>
                <w:p>
                  <w:pPr>
                    <w:widowControl/>
                    <w:adjustRightInd w:val="0"/>
                    <w:jc w:val="center"/>
                    <w:rPr>
                      <w:color w:val="auto"/>
                      <w:kern w:val="0"/>
                      <w:sz w:val="18"/>
                      <w:szCs w:val="18"/>
                    </w:rPr>
                  </w:pPr>
                  <w:r>
                    <w:rPr>
                      <w:color w:val="auto"/>
                      <w:kern w:val="0"/>
                      <w:sz w:val="18"/>
                      <w:szCs w:val="18"/>
                    </w:rPr>
                    <w:t>北纬32°36′22″</w:t>
                  </w:r>
                </w:p>
              </w:tc>
              <w:tc>
                <w:tcPr>
                  <w:tcW w:w="625" w:type="pct"/>
                  <w:vMerge w:val="continue"/>
                  <w:vAlign w:val="center"/>
                </w:tcPr>
                <w:p>
                  <w:pPr>
                    <w:widowControl/>
                    <w:adjustRightInd w:val="0"/>
                    <w:jc w:val="center"/>
                    <w:rPr>
                      <w:color w:val="auto"/>
                      <w:kern w:val="0"/>
                      <w:sz w:val="18"/>
                      <w:szCs w:val="18"/>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清淤Ⅴ区</w:t>
                  </w:r>
                </w:p>
              </w:tc>
              <w:tc>
                <w:tcPr>
                  <w:tcW w:w="546" w:type="pct"/>
                  <w:vAlign w:val="center"/>
                </w:tcPr>
                <w:p>
                  <w:pPr>
                    <w:widowControl/>
                    <w:adjustRightInd w:val="0"/>
                    <w:jc w:val="center"/>
                    <w:rPr>
                      <w:color w:val="auto"/>
                      <w:kern w:val="0"/>
                      <w:sz w:val="18"/>
                      <w:szCs w:val="18"/>
                    </w:rPr>
                  </w:pPr>
                  <w:r>
                    <w:rPr>
                      <w:color w:val="auto"/>
                      <w:kern w:val="0"/>
                      <w:sz w:val="18"/>
                      <w:szCs w:val="18"/>
                    </w:rPr>
                    <w:t>240</w:t>
                  </w:r>
                </w:p>
              </w:tc>
              <w:tc>
                <w:tcPr>
                  <w:tcW w:w="609" w:type="pct"/>
                  <w:vAlign w:val="center"/>
                </w:tcPr>
                <w:p>
                  <w:pPr>
                    <w:widowControl/>
                    <w:adjustRightInd w:val="0"/>
                    <w:jc w:val="center"/>
                    <w:rPr>
                      <w:color w:val="auto"/>
                      <w:kern w:val="0"/>
                      <w:sz w:val="18"/>
                      <w:szCs w:val="18"/>
                    </w:rPr>
                  </w:pPr>
                  <w:r>
                    <w:rPr>
                      <w:color w:val="auto"/>
                      <w:kern w:val="0"/>
                      <w:sz w:val="18"/>
                      <w:szCs w:val="18"/>
                    </w:rPr>
                    <w:t>广K4+850.00</w:t>
                  </w:r>
                </w:p>
              </w:tc>
              <w:tc>
                <w:tcPr>
                  <w:tcW w:w="612" w:type="pct"/>
                  <w:vAlign w:val="center"/>
                </w:tcPr>
                <w:p>
                  <w:pPr>
                    <w:widowControl/>
                    <w:adjustRightInd w:val="0"/>
                    <w:jc w:val="center"/>
                    <w:rPr>
                      <w:color w:val="auto"/>
                      <w:kern w:val="0"/>
                      <w:sz w:val="18"/>
                      <w:szCs w:val="18"/>
                    </w:rPr>
                  </w:pPr>
                  <w:r>
                    <w:rPr>
                      <w:color w:val="auto"/>
                      <w:kern w:val="0"/>
                      <w:sz w:val="18"/>
                      <w:szCs w:val="18"/>
                    </w:rPr>
                    <w:t>广K5+090.00</w:t>
                  </w:r>
                </w:p>
              </w:tc>
              <w:tc>
                <w:tcPr>
                  <w:tcW w:w="863" w:type="pct"/>
                  <w:vAlign w:val="center"/>
                </w:tcPr>
                <w:p>
                  <w:pPr>
                    <w:widowControl/>
                    <w:adjustRightInd w:val="0"/>
                    <w:jc w:val="center"/>
                    <w:rPr>
                      <w:color w:val="auto"/>
                      <w:kern w:val="0"/>
                      <w:sz w:val="18"/>
                      <w:szCs w:val="18"/>
                    </w:rPr>
                  </w:pPr>
                  <w:r>
                    <w:rPr>
                      <w:color w:val="auto"/>
                      <w:kern w:val="0"/>
                      <w:sz w:val="18"/>
                      <w:szCs w:val="18"/>
                    </w:rPr>
                    <w:t>东经105°49′36″</w:t>
                  </w:r>
                </w:p>
                <w:p>
                  <w:pPr>
                    <w:widowControl/>
                    <w:adjustRightInd w:val="0"/>
                    <w:jc w:val="center"/>
                    <w:rPr>
                      <w:color w:val="auto"/>
                      <w:kern w:val="0"/>
                      <w:sz w:val="18"/>
                      <w:szCs w:val="18"/>
                    </w:rPr>
                  </w:pPr>
                  <w:r>
                    <w:rPr>
                      <w:color w:val="auto"/>
                      <w:kern w:val="0"/>
                      <w:sz w:val="18"/>
                      <w:szCs w:val="18"/>
                    </w:rPr>
                    <w:t>北纬32°36′20″</w:t>
                  </w:r>
                </w:p>
              </w:tc>
              <w:tc>
                <w:tcPr>
                  <w:tcW w:w="938" w:type="pct"/>
                  <w:vAlign w:val="center"/>
                </w:tcPr>
                <w:p>
                  <w:pPr>
                    <w:widowControl/>
                    <w:adjustRightInd w:val="0"/>
                    <w:jc w:val="center"/>
                    <w:rPr>
                      <w:color w:val="auto"/>
                      <w:kern w:val="0"/>
                      <w:sz w:val="18"/>
                      <w:szCs w:val="18"/>
                    </w:rPr>
                  </w:pPr>
                  <w:r>
                    <w:rPr>
                      <w:color w:val="auto"/>
                      <w:kern w:val="0"/>
                      <w:sz w:val="18"/>
                      <w:szCs w:val="18"/>
                    </w:rPr>
                    <w:t>东经105°49′27″</w:t>
                  </w:r>
                </w:p>
                <w:p>
                  <w:pPr>
                    <w:widowControl/>
                    <w:adjustRightInd w:val="0"/>
                    <w:jc w:val="center"/>
                    <w:rPr>
                      <w:color w:val="auto"/>
                      <w:kern w:val="0"/>
                      <w:sz w:val="18"/>
                      <w:szCs w:val="18"/>
                    </w:rPr>
                  </w:pPr>
                  <w:r>
                    <w:rPr>
                      <w:color w:val="auto"/>
                      <w:kern w:val="0"/>
                      <w:sz w:val="18"/>
                      <w:szCs w:val="18"/>
                    </w:rPr>
                    <w:t>北纬32°36′19″</w:t>
                  </w:r>
                </w:p>
              </w:tc>
              <w:tc>
                <w:tcPr>
                  <w:tcW w:w="625" w:type="pct"/>
                  <w:vMerge w:val="continue"/>
                  <w:vAlign w:val="center"/>
                </w:tcPr>
                <w:p>
                  <w:pPr>
                    <w:widowControl/>
                    <w:adjustRightInd w:val="0"/>
                    <w:jc w:val="center"/>
                    <w:rPr>
                      <w:color w:val="auto"/>
                      <w:kern w:val="0"/>
                      <w:sz w:val="18"/>
                      <w:szCs w:val="18"/>
                    </w:rPr>
                  </w:pP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2" w:type="pct"/>
                  <w:vMerge w:val="continue"/>
                  <w:vAlign w:val="center"/>
                </w:tcPr>
                <w:p>
                  <w:pPr>
                    <w:widowControl/>
                    <w:spacing w:line="300" w:lineRule="exact"/>
                    <w:jc w:val="center"/>
                    <w:rPr>
                      <w:color w:val="auto"/>
                      <w:kern w:val="0"/>
                      <w:szCs w:val="21"/>
                    </w:rPr>
                  </w:pPr>
                </w:p>
              </w:tc>
              <w:tc>
                <w:tcPr>
                  <w:tcW w:w="482" w:type="pct"/>
                  <w:vAlign w:val="center"/>
                </w:tcPr>
                <w:p>
                  <w:pPr>
                    <w:widowControl/>
                    <w:spacing w:line="300" w:lineRule="exact"/>
                    <w:jc w:val="center"/>
                    <w:rPr>
                      <w:color w:val="auto"/>
                      <w:kern w:val="0"/>
                      <w:sz w:val="18"/>
                      <w:szCs w:val="18"/>
                    </w:rPr>
                  </w:pPr>
                  <w:r>
                    <w:rPr>
                      <w:color w:val="auto"/>
                      <w:kern w:val="0"/>
                      <w:sz w:val="18"/>
                      <w:szCs w:val="18"/>
                    </w:rPr>
                    <w:t>清淤Ⅵ区</w:t>
                  </w:r>
                </w:p>
              </w:tc>
              <w:tc>
                <w:tcPr>
                  <w:tcW w:w="546" w:type="pct"/>
                  <w:vAlign w:val="center"/>
                </w:tcPr>
                <w:p>
                  <w:pPr>
                    <w:widowControl/>
                    <w:adjustRightInd w:val="0"/>
                    <w:jc w:val="center"/>
                    <w:rPr>
                      <w:color w:val="auto"/>
                      <w:kern w:val="0"/>
                      <w:sz w:val="18"/>
                      <w:szCs w:val="18"/>
                    </w:rPr>
                  </w:pPr>
                  <w:r>
                    <w:rPr>
                      <w:color w:val="auto"/>
                      <w:kern w:val="0"/>
                      <w:sz w:val="18"/>
                      <w:szCs w:val="18"/>
                    </w:rPr>
                    <w:t>700</w:t>
                  </w:r>
                </w:p>
              </w:tc>
              <w:tc>
                <w:tcPr>
                  <w:tcW w:w="609" w:type="pct"/>
                  <w:vAlign w:val="center"/>
                </w:tcPr>
                <w:p>
                  <w:pPr>
                    <w:widowControl/>
                    <w:adjustRightInd w:val="0"/>
                    <w:jc w:val="center"/>
                    <w:rPr>
                      <w:color w:val="auto"/>
                      <w:kern w:val="0"/>
                      <w:sz w:val="18"/>
                      <w:szCs w:val="18"/>
                    </w:rPr>
                  </w:pPr>
                  <w:r>
                    <w:rPr>
                      <w:color w:val="auto"/>
                      <w:kern w:val="0"/>
                      <w:sz w:val="18"/>
                      <w:szCs w:val="18"/>
                    </w:rPr>
                    <w:t>广K6+710.00</w:t>
                  </w:r>
                </w:p>
              </w:tc>
              <w:tc>
                <w:tcPr>
                  <w:tcW w:w="612" w:type="pct"/>
                  <w:vAlign w:val="center"/>
                </w:tcPr>
                <w:p>
                  <w:pPr>
                    <w:widowControl/>
                    <w:adjustRightInd w:val="0"/>
                    <w:jc w:val="center"/>
                    <w:rPr>
                      <w:color w:val="auto"/>
                      <w:kern w:val="0"/>
                      <w:sz w:val="18"/>
                      <w:szCs w:val="18"/>
                    </w:rPr>
                  </w:pPr>
                  <w:r>
                    <w:rPr>
                      <w:color w:val="auto"/>
                      <w:kern w:val="0"/>
                      <w:sz w:val="18"/>
                      <w:szCs w:val="18"/>
                    </w:rPr>
                    <w:t>广K7+410.00</w:t>
                  </w:r>
                </w:p>
              </w:tc>
              <w:tc>
                <w:tcPr>
                  <w:tcW w:w="863" w:type="pct"/>
                  <w:vAlign w:val="center"/>
                </w:tcPr>
                <w:p>
                  <w:pPr>
                    <w:widowControl/>
                    <w:adjustRightInd w:val="0"/>
                    <w:jc w:val="center"/>
                    <w:rPr>
                      <w:color w:val="auto"/>
                      <w:kern w:val="0"/>
                      <w:sz w:val="18"/>
                      <w:szCs w:val="18"/>
                    </w:rPr>
                  </w:pPr>
                  <w:r>
                    <w:rPr>
                      <w:color w:val="auto"/>
                      <w:kern w:val="0"/>
                      <w:sz w:val="18"/>
                      <w:szCs w:val="18"/>
                    </w:rPr>
                    <w:t>东经105°49′0″</w:t>
                  </w:r>
                </w:p>
                <w:p>
                  <w:pPr>
                    <w:widowControl/>
                    <w:adjustRightInd w:val="0"/>
                    <w:jc w:val="center"/>
                    <w:rPr>
                      <w:color w:val="auto"/>
                      <w:kern w:val="0"/>
                      <w:sz w:val="18"/>
                      <w:szCs w:val="18"/>
                    </w:rPr>
                  </w:pPr>
                  <w:r>
                    <w:rPr>
                      <w:color w:val="auto"/>
                      <w:kern w:val="0"/>
                      <w:sz w:val="18"/>
                      <w:szCs w:val="18"/>
                    </w:rPr>
                    <w:t>北纬32°36′48″</w:t>
                  </w:r>
                </w:p>
              </w:tc>
              <w:tc>
                <w:tcPr>
                  <w:tcW w:w="938" w:type="pct"/>
                  <w:vAlign w:val="center"/>
                </w:tcPr>
                <w:p>
                  <w:pPr>
                    <w:widowControl/>
                    <w:adjustRightInd w:val="0"/>
                    <w:jc w:val="center"/>
                    <w:rPr>
                      <w:color w:val="auto"/>
                      <w:kern w:val="0"/>
                      <w:sz w:val="18"/>
                      <w:szCs w:val="18"/>
                    </w:rPr>
                  </w:pPr>
                  <w:r>
                    <w:rPr>
                      <w:color w:val="auto"/>
                      <w:kern w:val="0"/>
                      <w:sz w:val="18"/>
                      <w:szCs w:val="18"/>
                    </w:rPr>
                    <w:t>东经105°48′36″</w:t>
                  </w:r>
                </w:p>
                <w:p>
                  <w:pPr>
                    <w:widowControl/>
                    <w:adjustRightInd w:val="0"/>
                    <w:jc w:val="center"/>
                    <w:rPr>
                      <w:color w:val="auto"/>
                      <w:kern w:val="0"/>
                      <w:sz w:val="18"/>
                      <w:szCs w:val="18"/>
                    </w:rPr>
                  </w:pPr>
                  <w:r>
                    <w:rPr>
                      <w:color w:val="auto"/>
                      <w:kern w:val="0"/>
                      <w:sz w:val="18"/>
                      <w:szCs w:val="18"/>
                    </w:rPr>
                    <w:t>北纬32°37′1″</w:t>
                  </w:r>
                </w:p>
              </w:tc>
              <w:tc>
                <w:tcPr>
                  <w:tcW w:w="625" w:type="pct"/>
                  <w:vAlign w:val="center"/>
                </w:tcPr>
                <w:p>
                  <w:pPr>
                    <w:widowControl/>
                    <w:adjustRightInd w:val="0"/>
                    <w:jc w:val="center"/>
                    <w:rPr>
                      <w:rFonts w:hint="default" w:eastAsia="宋体"/>
                      <w:color w:val="auto"/>
                      <w:kern w:val="0"/>
                      <w:sz w:val="18"/>
                      <w:szCs w:val="18"/>
                      <w:lang w:val="en-US" w:eastAsia="zh-CN"/>
                    </w:rPr>
                  </w:pPr>
                  <w:r>
                    <w:rPr>
                      <w:color w:val="auto"/>
                      <w:kern w:val="0"/>
                      <w:sz w:val="18"/>
                      <w:szCs w:val="18"/>
                    </w:rPr>
                    <w:t>其中400m不予实施</w:t>
                  </w:r>
                  <w:r>
                    <w:rPr>
                      <w:rFonts w:hint="eastAsia"/>
                      <w:color w:val="auto"/>
                      <w:kern w:val="0"/>
                      <w:sz w:val="18"/>
                      <w:szCs w:val="18"/>
                      <w:lang w:eastAsia="zh-CN"/>
                    </w:rPr>
                    <w:t>，</w:t>
                  </w:r>
                  <w:r>
                    <w:rPr>
                      <w:rFonts w:hint="eastAsia"/>
                      <w:color w:val="auto"/>
                      <w:kern w:val="0"/>
                      <w:sz w:val="18"/>
                      <w:szCs w:val="18"/>
                      <w:lang w:val="en-US" w:eastAsia="zh-CN"/>
                    </w:rPr>
                    <w:t>其余部分已实施</w:t>
                  </w:r>
                </w:p>
              </w:tc>
            </w:tr>
            <w:tr>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pct"/>
                  <w:gridSpan w:val="2"/>
                  <w:vAlign w:val="center"/>
                </w:tcPr>
                <w:p>
                  <w:pPr>
                    <w:widowControl/>
                    <w:spacing w:line="300" w:lineRule="exact"/>
                    <w:jc w:val="center"/>
                    <w:rPr>
                      <w:color w:val="auto"/>
                      <w:kern w:val="0"/>
                      <w:sz w:val="18"/>
                      <w:szCs w:val="18"/>
                    </w:rPr>
                  </w:pPr>
                  <w:r>
                    <w:rPr>
                      <w:color w:val="auto"/>
                      <w:kern w:val="0"/>
                      <w:sz w:val="18"/>
                      <w:szCs w:val="18"/>
                    </w:rPr>
                    <w:t>合计</w:t>
                  </w:r>
                </w:p>
              </w:tc>
              <w:tc>
                <w:tcPr>
                  <w:tcW w:w="546" w:type="pct"/>
                  <w:vAlign w:val="center"/>
                </w:tcPr>
                <w:p>
                  <w:pPr>
                    <w:widowControl/>
                    <w:adjustRightInd w:val="0"/>
                    <w:jc w:val="center"/>
                    <w:rPr>
                      <w:color w:val="auto"/>
                      <w:kern w:val="0"/>
                      <w:sz w:val="18"/>
                      <w:szCs w:val="18"/>
                    </w:rPr>
                  </w:pPr>
                  <w:r>
                    <w:rPr>
                      <w:color w:val="auto"/>
                      <w:kern w:val="0"/>
                      <w:sz w:val="18"/>
                      <w:szCs w:val="18"/>
                    </w:rPr>
                    <w:t>3670</w:t>
                  </w:r>
                </w:p>
              </w:tc>
              <w:tc>
                <w:tcPr>
                  <w:tcW w:w="609" w:type="pct"/>
                  <w:vAlign w:val="center"/>
                </w:tcPr>
                <w:p>
                  <w:pPr>
                    <w:widowControl/>
                    <w:adjustRightInd w:val="0"/>
                    <w:jc w:val="center"/>
                    <w:rPr>
                      <w:color w:val="auto"/>
                      <w:kern w:val="0"/>
                      <w:sz w:val="18"/>
                      <w:szCs w:val="18"/>
                    </w:rPr>
                  </w:pPr>
                </w:p>
              </w:tc>
              <w:tc>
                <w:tcPr>
                  <w:tcW w:w="612" w:type="pct"/>
                  <w:vAlign w:val="center"/>
                </w:tcPr>
                <w:p>
                  <w:pPr>
                    <w:widowControl/>
                    <w:adjustRightInd w:val="0"/>
                    <w:jc w:val="center"/>
                    <w:rPr>
                      <w:color w:val="auto"/>
                      <w:kern w:val="0"/>
                      <w:sz w:val="18"/>
                      <w:szCs w:val="18"/>
                    </w:rPr>
                  </w:pPr>
                </w:p>
              </w:tc>
              <w:tc>
                <w:tcPr>
                  <w:tcW w:w="863" w:type="pct"/>
                  <w:vAlign w:val="center"/>
                </w:tcPr>
                <w:p>
                  <w:pPr>
                    <w:widowControl/>
                    <w:adjustRightInd w:val="0"/>
                    <w:jc w:val="center"/>
                    <w:rPr>
                      <w:color w:val="auto"/>
                      <w:kern w:val="0"/>
                      <w:sz w:val="18"/>
                      <w:szCs w:val="18"/>
                    </w:rPr>
                  </w:pPr>
                </w:p>
              </w:tc>
              <w:tc>
                <w:tcPr>
                  <w:tcW w:w="938" w:type="pct"/>
                  <w:vAlign w:val="center"/>
                </w:tcPr>
                <w:p>
                  <w:pPr>
                    <w:widowControl/>
                    <w:adjustRightInd w:val="0"/>
                    <w:jc w:val="center"/>
                    <w:rPr>
                      <w:color w:val="auto"/>
                      <w:kern w:val="0"/>
                      <w:sz w:val="18"/>
                      <w:szCs w:val="18"/>
                    </w:rPr>
                  </w:pPr>
                </w:p>
              </w:tc>
              <w:tc>
                <w:tcPr>
                  <w:tcW w:w="625" w:type="pct"/>
                  <w:vAlign w:val="center"/>
                </w:tcPr>
                <w:p>
                  <w:pPr>
                    <w:widowControl/>
                    <w:adjustRightInd w:val="0"/>
                    <w:jc w:val="center"/>
                    <w:rPr>
                      <w:color w:val="auto"/>
                      <w:kern w:val="0"/>
                      <w:sz w:val="18"/>
                      <w:szCs w:val="18"/>
                    </w:rPr>
                  </w:pPr>
                </w:p>
              </w:tc>
            </w:tr>
          </w:tbl>
          <w:p>
            <w:pPr>
              <w:adjustRightInd w:val="0"/>
              <w:snapToGrid w:val="0"/>
              <w:spacing w:line="360" w:lineRule="auto"/>
              <w:ind w:firstLine="480" w:firstLineChars="200"/>
              <w:rPr>
                <w:color w:val="auto"/>
                <w:kern w:val="0"/>
                <w:sz w:val="24"/>
              </w:rPr>
            </w:pPr>
            <w:r>
              <w:rPr>
                <w:color w:val="auto"/>
                <w:kern w:val="0"/>
                <w:sz w:val="24"/>
              </w:rPr>
              <w:t>其中广坪河6段堤防由于建设单位工程调整，该段堤防将不予实施。</w:t>
            </w:r>
          </w:p>
          <w:p>
            <w:pPr>
              <w:adjustRightInd w:val="0"/>
              <w:snapToGrid w:val="0"/>
              <w:spacing w:line="360" w:lineRule="auto"/>
              <w:ind w:firstLine="480" w:firstLineChars="200"/>
              <w:rPr>
                <w:color w:val="auto"/>
                <w:kern w:val="0"/>
                <w:sz w:val="24"/>
              </w:rPr>
            </w:pPr>
            <w:r>
              <w:rPr>
                <w:color w:val="auto"/>
                <w:kern w:val="0"/>
                <w:sz w:val="24"/>
              </w:rPr>
              <w:t>此外，根据四川嘉陵江源湿地市级自然保护区管理处、朝天区林业局及朝天区水利局3方协商，由于本项目拟实施的“清淤Ⅰ区、清淤Ⅱ区、清淤Ⅵ区－1”涉及保护区内滩涂的大面积占用，3处清淤区实施将严重破坏保护区现有湿地景观和湿地生态系统，因此朝天区水利局本着生态优先的原则，根据现地勘察决定对以上3处清淤区不予实施，只实施保护区外侧清淤区，并承诺保护区外侧清淤区施工时间为广坪河羊木段枯水期（即12月至次年3月），清淤时间控制在1个月完成，</w:t>
            </w:r>
            <w:r>
              <w:rPr>
                <w:color w:val="auto"/>
                <w:kern w:val="0"/>
                <w:sz w:val="24"/>
              </w:rPr>
              <w:t>清淤料除用于堤防建设外，余方</w:t>
            </w:r>
            <w:r>
              <w:rPr>
                <w:rFonts w:hint="eastAsia"/>
                <w:color w:val="auto"/>
                <w:kern w:val="0"/>
                <w:sz w:val="24"/>
                <w:lang w:val="en-US" w:eastAsia="zh-CN"/>
              </w:rPr>
              <w:t>用于部分堤后低洼处（堤后3m内）回填</w:t>
            </w:r>
            <w:r>
              <w:rPr>
                <w:rFonts w:hint="eastAsia"/>
                <w:color w:val="auto"/>
                <w:kern w:val="0"/>
                <w:sz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528" w:type="dxa"/>
            <w:vAlign w:val="center"/>
          </w:tcPr>
          <w:p>
            <w:pPr>
              <w:adjustRightInd w:val="0"/>
              <w:snapToGrid w:val="0"/>
              <w:jc w:val="center"/>
              <w:rPr>
                <w:color w:val="auto"/>
                <w:kern w:val="0"/>
                <w:sz w:val="24"/>
              </w:rPr>
            </w:pPr>
            <w:r>
              <w:rPr>
                <w:color w:val="auto"/>
                <w:kern w:val="0"/>
                <w:sz w:val="24"/>
              </w:rPr>
              <w:t>项目组成及规模</w:t>
            </w:r>
          </w:p>
        </w:tc>
        <w:tc>
          <w:tcPr>
            <w:tcW w:w="9591" w:type="dxa"/>
            <w:vAlign w:val="center"/>
          </w:tcPr>
          <w:p>
            <w:pPr>
              <w:adjustRightInd w:val="0"/>
              <w:snapToGrid w:val="0"/>
              <w:spacing w:line="360" w:lineRule="auto"/>
              <w:rPr>
                <w:rStyle w:val="87"/>
                <w:b/>
                <w:bCs/>
                <w:color w:val="auto"/>
              </w:rPr>
            </w:pPr>
            <w:r>
              <w:rPr>
                <w:rStyle w:val="87"/>
                <w:b/>
                <w:bCs/>
                <w:color w:val="auto"/>
              </w:rPr>
              <w:t>一、项目由来</w:t>
            </w:r>
          </w:p>
          <w:p>
            <w:pPr>
              <w:adjustRightInd w:val="0"/>
              <w:snapToGrid w:val="0"/>
              <w:spacing w:line="360" w:lineRule="auto"/>
              <w:ind w:firstLine="480" w:firstLineChars="200"/>
              <w:rPr>
                <w:rStyle w:val="87"/>
                <w:color w:val="auto"/>
              </w:rPr>
            </w:pPr>
            <w:r>
              <w:rPr>
                <w:rStyle w:val="87"/>
                <w:color w:val="auto"/>
              </w:rPr>
              <w:t>广元市朝天区地处四川北部边缘，幅员面积1620km</w:t>
            </w:r>
            <w:r>
              <w:rPr>
                <w:rStyle w:val="87"/>
                <w:color w:val="auto"/>
                <w:vertAlign w:val="superscript"/>
              </w:rPr>
              <w:t>2</w:t>
            </w:r>
            <w:r>
              <w:rPr>
                <w:rStyle w:val="87"/>
                <w:color w:val="auto"/>
              </w:rPr>
              <w:t>，人口约20万。本工程位于嘉陵江上游右岸一级支流广坪河下游朝天镇双河村河段。广坪河是朝天区羊木镇境内的主要河流，广坪河作为嘉陵江一级支流，流域内降水多，洪水频繁洪水过程具有山区性河流陡涨陡落、峰型尖瘦的特点。根据历史洪水调查，河岸沿线损失严重。工程河段原河岸不能满足防洪要求，抗冲刷能力弱，在洪水作用下垮塌严重，致使一遇洪水便危及人民生命财产安全。</w:t>
            </w:r>
          </w:p>
          <w:p>
            <w:pPr>
              <w:adjustRightInd w:val="0"/>
              <w:snapToGrid w:val="0"/>
              <w:spacing w:line="360" w:lineRule="auto"/>
              <w:ind w:firstLine="480" w:firstLineChars="200"/>
              <w:rPr>
                <w:rStyle w:val="87"/>
                <w:color w:val="auto"/>
              </w:rPr>
            </w:pPr>
            <w:r>
              <w:rPr>
                <w:rStyle w:val="87"/>
                <w:color w:val="auto"/>
              </w:rPr>
              <w:t>本工程的实施不仅可以有效的保护人口和耕地等，保证了人民的生命财产安全。同时，工程的实施也将使沿岸土壤和植被得以保护，有效保护了该河段河岸的进一步垮塌，在水土流失减少的同时水环境得到了有效地治理。因此，朝天区广坪河羊木段防洪治理工程的建设是十分必要的。</w:t>
            </w:r>
            <w:r>
              <w:rPr>
                <w:rStyle w:val="87"/>
                <w:color w:val="auto"/>
              </w:rPr>
              <w:t>本工程主要保护对象为耕地，保护面积约686.56亩。</w:t>
            </w:r>
          </w:p>
          <w:p>
            <w:pPr>
              <w:adjustRightInd w:val="0"/>
              <w:snapToGrid w:val="0"/>
              <w:spacing w:line="360" w:lineRule="auto"/>
              <w:ind w:firstLine="480" w:firstLineChars="200"/>
              <w:rPr>
                <w:rStyle w:val="87"/>
                <w:color w:val="auto"/>
              </w:rPr>
            </w:pPr>
            <w:r>
              <w:rPr>
                <w:rStyle w:val="87"/>
                <w:color w:val="auto"/>
              </w:rPr>
              <w:t>同时，工程河段内河道流速较大，局部河段岸坡垮塌，造成河道积淤，河道冲淤不平衡，部分河段河床抬高，使其淤积现象逐年加剧，河道的水流自然流动性受到不同程度的破坏，削弱了河道的自净能力和排洪能力，使其河道的正常功能受到较大影响。因此，对治理河道进行清淤疏浚处理具有及其重要的意义。</w:t>
            </w:r>
          </w:p>
          <w:p>
            <w:pPr>
              <w:adjustRightInd w:val="0"/>
              <w:snapToGrid w:val="0"/>
              <w:spacing w:line="360" w:lineRule="auto"/>
              <w:ind w:firstLine="480" w:firstLineChars="200"/>
              <w:rPr>
                <w:rStyle w:val="87"/>
                <w:color w:val="auto"/>
              </w:rPr>
            </w:pPr>
            <w:r>
              <w:rPr>
                <w:rStyle w:val="87"/>
                <w:color w:val="auto"/>
              </w:rPr>
              <w:t>根据《四川省水利厅、四川省财政厅关于印发防汛抗旱水利提升工程实施方案中央财政支持项目清单的通知》川水函（2020）901号文，四川省朝天区广坪河羊木段防洪治理工程已纳入其中：投资</w:t>
            </w:r>
            <w:r>
              <w:rPr>
                <w:rStyle w:val="87"/>
                <w:rFonts w:hint="eastAsia"/>
                <w:color w:val="auto"/>
                <w:lang w:val="en-US" w:eastAsia="zh-CN"/>
              </w:rPr>
              <w:t>3634.39</w:t>
            </w:r>
            <w:r>
              <w:rPr>
                <w:rStyle w:val="87"/>
                <w:color w:val="auto"/>
              </w:rPr>
              <w:t>万元，综合治理河道长度为7.50km，新建堤防</w:t>
            </w:r>
            <w:r>
              <w:rPr>
                <w:color w:val="auto"/>
                <w:kern w:val="0"/>
                <w:sz w:val="24"/>
              </w:rPr>
              <w:t>3668m（左岸1898m，右岸1770m</w:t>
            </w:r>
            <w:r>
              <w:rPr>
                <w:rFonts w:hint="eastAsia"/>
                <w:color w:val="auto"/>
                <w:kern w:val="0"/>
                <w:sz w:val="24"/>
                <w:lang w:eastAsia="zh-CN"/>
              </w:rPr>
              <w:t>，</w:t>
            </w:r>
            <w:r>
              <w:rPr>
                <w:rFonts w:hint="eastAsia"/>
                <w:color w:val="auto"/>
                <w:kern w:val="0"/>
                <w:sz w:val="24"/>
                <w:lang w:val="en-US" w:eastAsia="zh-CN"/>
              </w:rPr>
              <w:t>其中367m不予实施</w:t>
            </w:r>
            <w:r>
              <w:rPr>
                <w:color w:val="auto"/>
                <w:kern w:val="0"/>
                <w:sz w:val="24"/>
              </w:rPr>
              <w:t>），疏浚河道3670m（含堤防建设区1630m</w:t>
            </w:r>
            <w:r>
              <w:rPr>
                <w:rFonts w:hint="eastAsia"/>
                <w:color w:val="auto"/>
                <w:kern w:val="0"/>
                <w:sz w:val="24"/>
                <w:lang w:eastAsia="zh-CN"/>
              </w:rPr>
              <w:t>；</w:t>
            </w:r>
            <w:r>
              <w:rPr>
                <w:rFonts w:hint="eastAsia"/>
                <w:color w:val="auto"/>
                <w:kern w:val="0"/>
                <w:sz w:val="24"/>
                <w:lang w:val="en-US" w:eastAsia="zh-CN"/>
              </w:rPr>
              <w:t>其中涉及保护区的</w:t>
            </w:r>
            <w:r>
              <w:rPr>
                <w:color w:val="auto"/>
                <w:sz w:val="24"/>
              </w:rPr>
              <w:t>1830m不予实施</w:t>
            </w:r>
            <w:r>
              <w:rPr>
                <w:color w:val="auto"/>
                <w:kern w:val="0"/>
                <w:sz w:val="24"/>
              </w:rPr>
              <w:t>）</w:t>
            </w:r>
            <w:r>
              <w:rPr>
                <w:rStyle w:val="87"/>
                <w:color w:val="auto"/>
              </w:rPr>
              <w:t>，新建下河梯步6处（均设置在堤防占地范围内）、排涝工程8处（均设置在堤防占地范围内）。</w:t>
            </w:r>
          </w:p>
          <w:p>
            <w:pPr>
              <w:adjustRightInd w:val="0"/>
              <w:snapToGrid w:val="0"/>
              <w:spacing w:line="360" w:lineRule="auto"/>
              <w:rPr>
                <w:rStyle w:val="87"/>
                <w:b/>
                <w:bCs/>
                <w:color w:val="auto"/>
              </w:rPr>
            </w:pPr>
            <w:r>
              <w:rPr>
                <w:rStyle w:val="87"/>
                <w:b/>
                <w:bCs/>
                <w:color w:val="auto"/>
              </w:rPr>
              <w:t>二、项目组成及主要环境问题</w:t>
            </w:r>
          </w:p>
          <w:p>
            <w:pPr>
              <w:adjustRightInd w:val="0"/>
              <w:snapToGrid w:val="0"/>
              <w:spacing w:line="360" w:lineRule="auto"/>
              <w:ind w:firstLine="480" w:firstLineChars="200"/>
              <w:rPr>
                <w:rStyle w:val="87"/>
                <w:rFonts w:hint="default" w:eastAsia="宋体"/>
                <w:color w:val="auto"/>
                <w:lang w:val="en-US" w:eastAsia="zh-CN"/>
              </w:rPr>
            </w:pPr>
            <w:r>
              <w:rPr>
                <w:color w:val="auto"/>
                <w:kern w:val="0"/>
                <w:sz w:val="24"/>
              </w:rPr>
              <w:t>本项目</w:t>
            </w:r>
            <w:r>
              <w:rPr>
                <w:rFonts w:hint="eastAsia"/>
                <w:color w:val="auto"/>
                <w:kern w:val="0"/>
                <w:sz w:val="24"/>
                <w:lang w:val="en-US" w:eastAsia="zh-CN"/>
              </w:rPr>
              <w:t>为防洪治理工程，</w:t>
            </w:r>
            <w:r>
              <w:rPr>
                <w:color w:val="auto"/>
                <w:kern w:val="0"/>
                <w:sz w:val="24"/>
              </w:rPr>
              <w:t>起点位于双河村广坪河右岸（105°51’18”，32°36’49”），终点位于青羊村广坪河右岸（105°48’39"，32°37’0″）。综合治理河道长度为7.50km，新建堤防3668m（左岸1898m，右岸1770m</w:t>
            </w:r>
            <w:r>
              <w:rPr>
                <w:rFonts w:hint="eastAsia"/>
                <w:color w:val="auto"/>
                <w:kern w:val="0"/>
                <w:sz w:val="24"/>
                <w:lang w:eastAsia="zh-CN"/>
              </w:rPr>
              <w:t>，</w:t>
            </w:r>
            <w:r>
              <w:rPr>
                <w:rFonts w:hint="eastAsia"/>
                <w:color w:val="auto"/>
                <w:kern w:val="0"/>
                <w:sz w:val="24"/>
                <w:lang w:val="en-US" w:eastAsia="zh-CN"/>
              </w:rPr>
              <w:t>其中367m不予实施</w:t>
            </w:r>
            <w:r>
              <w:rPr>
                <w:color w:val="auto"/>
                <w:kern w:val="0"/>
                <w:sz w:val="24"/>
              </w:rPr>
              <w:t>），疏浚河道3670m（含堤防建设区1630m</w:t>
            </w:r>
            <w:r>
              <w:rPr>
                <w:rFonts w:hint="eastAsia"/>
                <w:color w:val="auto"/>
                <w:kern w:val="0"/>
                <w:sz w:val="24"/>
                <w:lang w:eastAsia="zh-CN"/>
              </w:rPr>
              <w:t>；</w:t>
            </w:r>
            <w:r>
              <w:rPr>
                <w:rFonts w:hint="eastAsia"/>
                <w:color w:val="auto"/>
                <w:kern w:val="0"/>
                <w:sz w:val="24"/>
                <w:lang w:val="en-US" w:eastAsia="zh-CN"/>
              </w:rPr>
              <w:t>其中涉及保护区的</w:t>
            </w:r>
            <w:r>
              <w:rPr>
                <w:color w:val="auto"/>
                <w:sz w:val="24"/>
              </w:rPr>
              <w:t>1830m不予实施</w:t>
            </w:r>
            <w:r>
              <w:rPr>
                <w:color w:val="auto"/>
                <w:kern w:val="0"/>
                <w:sz w:val="24"/>
              </w:rPr>
              <w:t>），新建下河梯步6处（均设置在堤防占地范围内）、排涝工程8处（均设置在堤防占地范围内）</w:t>
            </w:r>
            <w:r>
              <w:rPr>
                <w:rStyle w:val="87"/>
                <w:color w:val="auto"/>
              </w:rPr>
              <w:t>。</w:t>
            </w:r>
            <w:r>
              <w:rPr>
                <w:rStyle w:val="87"/>
                <w:rFonts w:hint="eastAsia"/>
                <w:color w:val="auto"/>
                <w:lang w:val="en-US" w:eastAsia="zh-CN"/>
              </w:rPr>
              <w:t>项目已于2022年11月开始施工，目前堤防主体工程已完工，部分堤防植草护坡等收尾工作未完成，预计2024年4月底完工。工程施工过程中未受到群众投诉。</w:t>
            </w:r>
          </w:p>
          <w:p>
            <w:pPr>
              <w:adjustRightInd w:val="0"/>
              <w:snapToGrid w:val="0"/>
              <w:spacing w:line="360" w:lineRule="auto"/>
              <w:ind w:firstLine="480" w:firstLineChars="200"/>
              <w:rPr>
                <w:bCs/>
                <w:color w:val="auto"/>
                <w:sz w:val="24"/>
              </w:rPr>
            </w:pPr>
            <w:r>
              <w:rPr>
                <w:rStyle w:val="87"/>
                <w:color w:val="auto"/>
              </w:rPr>
              <w:t>本项目主体工程主要为5段堤防工程修建以及羊木段河道清淤疏浚，临时工程为导流围堰、2处临时堆土场及1处施工场地</w:t>
            </w:r>
            <w:r>
              <w:rPr>
                <w:bCs/>
                <w:color w:val="auto"/>
                <w:sz w:val="24"/>
              </w:rPr>
              <w:t>。</w:t>
            </w:r>
          </w:p>
          <w:p>
            <w:pPr>
              <w:adjustRightInd w:val="0"/>
              <w:snapToGrid w:val="0"/>
              <w:spacing w:line="360" w:lineRule="auto"/>
              <w:ind w:firstLine="480" w:firstLineChars="200"/>
              <w:rPr>
                <w:bCs/>
                <w:color w:val="auto"/>
                <w:sz w:val="24"/>
              </w:rPr>
            </w:pPr>
            <w:r>
              <w:rPr>
                <w:bCs/>
                <w:color w:val="auto"/>
                <w:sz w:val="24"/>
              </w:rPr>
              <w:t>项目组成及可能产生环境问题见下表。</w:t>
            </w:r>
          </w:p>
          <w:p>
            <w:pPr>
              <w:pStyle w:val="63"/>
              <w:numPr>
                <w:ilvl w:val="0"/>
                <w:numId w:val="6"/>
              </w:numPr>
              <w:adjustRightInd w:val="0"/>
              <w:snapToGrid w:val="0"/>
              <w:rPr>
                <w:b/>
                <w:color w:val="auto"/>
                <w:szCs w:val="21"/>
              </w:rPr>
            </w:pPr>
            <w:r>
              <w:rPr>
                <w:b/>
                <w:color w:val="auto"/>
                <w:szCs w:val="21"/>
              </w:rPr>
              <w:t xml:space="preserve"> 项目组成表及主要环境问题</w:t>
            </w:r>
          </w:p>
          <w:tbl>
            <w:tblPr>
              <w:tblStyle w:val="3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688"/>
              <w:gridCol w:w="4442"/>
              <w:gridCol w:w="1182"/>
              <w:gridCol w:w="573"/>
              <w:gridCol w:w="8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38" w:type="pct"/>
                  <w:vAlign w:val="center"/>
                </w:tcPr>
                <w:p>
                  <w:pPr>
                    <w:pStyle w:val="234"/>
                    <w:adjustRightInd w:val="0"/>
                    <w:snapToGrid w:val="0"/>
                    <w:spacing w:before="48" w:beforeLines="20" w:after="48" w:afterLines="20"/>
                    <w:rPr>
                      <w:rFonts w:ascii="Times New Roman" w:hAnsi="Times New Roman" w:cs="Times New Roman"/>
                      <w:b/>
                      <w:bCs/>
                      <w:color w:val="auto"/>
                    </w:rPr>
                  </w:pPr>
                  <w:r>
                    <w:rPr>
                      <w:rFonts w:ascii="Times New Roman" w:hAnsi="Times New Roman" w:cs="Times New Roman"/>
                      <w:b/>
                      <w:bCs/>
                      <w:color w:val="auto"/>
                    </w:rPr>
                    <w:t>名称</w:t>
                  </w:r>
                </w:p>
              </w:tc>
              <w:tc>
                <w:tcPr>
                  <w:tcW w:w="3028" w:type="pct"/>
                  <w:gridSpan w:val="2"/>
                  <w:vAlign w:val="center"/>
                </w:tcPr>
                <w:p>
                  <w:pPr>
                    <w:pStyle w:val="234"/>
                    <w:adjustRightInd w:val="0"/>
                    <w:snapToGrid w:val="0"/>
                    <w:spacing w:before="48" w:beforeLines="20" w:after="48" w:afterLines="20"/>
                    <w:ind w:firstLine="420"/>
                    <w:rPr>
                      <w:rFonts w:ascii="Times New Roman" w:hAnsi="Times New Roman" w:cs="Times New Roman"/>
                      <w:b/>
                      <w:bCs/>
                      <w:color w:val="auto"/>
                    </w:rPr>
                  </w:pPr>
                  <w:r>
                    <w:rPr>
                      <w:rFonts w:ascii="Times New Roman" w:hAnsi="Times New Roman" w:cs="Times New Roman"/>
                      <w:b/>
                      <w:bCs/>
                      <w:color w:val="auto"/>
                    </w:rPr>
                    <w:t>项目内容及规模</w:t>
                  </w:r>
                </w:p>
              </w:tc>
              <w:tc>
                <w:tcPr>
                  <w:tcW w:w="698" w:type="pct"/>
                  <w:vAlign w:val="center"/>
                </w:tcPr>
                <w:p>
                  <w:pPr>
                    <w:pStyle w:val="234"/>
                    <w:adjustRightInd w:val="0"/>
                    <w:snapToGrid w:val="0"/>
                    <w:spacing w:before="48" w:beforeLines="20" w:after="48" w:afterLines="20"/>
                    <w:rPr>
                      <w:rFonts w:ascii="Times New Roman" w:hAnsi="Times New Roman" w:cs="Times New Roman"/>
                      <w:b/>
                      <w:bCs/>
                      <w:color w:val="auto"/>
                    </w:rPr>
                  </w:pPr>
                  <w:r>
                    <w:rPr>
                      <w:rFonts w:ascii="Times New Roman" w:hAnsi="Times New Roman" w:cs="Times New Roman"/>
                      <w:b/>
                      <w:bCs/>
                      <w:color w:val="auto"/>
                    </w:rPr>
                    <w:t>施工期</w:t>
                  </w:r>
                </w:p>
              </w:tc>
              <w:tc>
                <w:tcPr>
                  <w:tcW w:w="338" w:type="pct"/>
                </w:tcPr>
                <w:p>
                  <w:pPr>
                    <w:pStyle w:val="234"/>
                    <w:adjustRightInd w:val="0"/>
                    <w:snapToGrid w:val="0"/>
                    <w:spacing w:before="48" w:beforeLines="20" w:after="48" w:afterLines="20"/>
                    <w:rPr>
                      <w:rFonts w:ascii="Times New Roman" w:hAnsi="Times New Roman" w:cs="Times New Roman"/>
                      <w:b/>
                      <w:bCs/>
                      <w:color w:val="auto"/>
                    </w:rPr>
                  </w:pPr>
                  <w:r>
                    <w:rPr>
                      <w:rFonts w:ascii="Times New Roman" w:hAnsi="Times New Roman" w:cs="Times New Roman"/>
                      <w:b/>
                      <w:bCs/>
                      <w:color w:val="auto"/>
                    </w:rPr>
                    <w:t>运营期</w:t>
                  </w:r>
                </w:p>
              </w:tc>
              <w:tc>
                <w:tcPr>
                  <w:tcW w:w="495" w:type="pct"/>
                  <w:vAlign w:val="center"/>
                </w:tcPr>
                <w:p>
                  <w:pPr>
                    <w:pStyle w:val="234"/>
                    <w:adjustRightInd w:val="0"/>
                    <w:snapToGrid w:val="0"/>
                    <w:spacing w:before="48" w:beforeLines="20" w:after="48" w:afterLines="20"/>
                    <w:rPr>
                      <w:rFonts w:ascii="Times New Roman" w:hAnsi="Times New Roman" w:cs="Times New Roman"/>
                      <w:b/>
                      <w:bCs/>
                      <w:color w:val="auto"/>
                    </w:rPr>
                  </w:pPr>
                  <w:r>
                    <w:rPr>
                      <w:rFonts w:ascii="Times New Roman" w:hAnsi="Times New Roman" w:cs="Times New Roman"/>
                      <w:b/>
                      <w:bCs/>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主体工程</w:t>
                  </w: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防洪</w:t>
                  </w:r>
                </w:p>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工程</w:t>
                  </w:r>
                </w:p>
              </w:tc>
              <w:tc>
                <w:tcPr>
                  <w:tcW w:w="2621" w:type="pct"/>
                  <w:vAlign w:val="center"/>
                </w:tcPr>
                <w:p>
                  <w:pPr>
                    <w:adjustRightInd w:val="0"/>
                    <w:snapToGrid w:val="0"/>
                    <w:rPr>
                      <w:color w:val="auto"/>
                      <w:szCs w:val="21"/>
                    </w:rPr>
                  </w:pPr>
                  <w:r>
                    <w:rPr>
                      <w:color w:val="auto"/>
                      <w:szCs w:val="21"/>
                    </w:rPr>
                    <w:t>在广坪河羊木段新建堤防6段，长度合计3668m，其中左岸共新建堤防长度为1898m，右岸共新建堤防长度为1770m。</w:t>
                  </w:r>
                </w:p>
                <w:p>
                  <w:pPr>
                    <w:adjustRightInd w:val="0"/>
                    <w:snapToGrid w:val="0"/>
                    <w:rPr>
                      <w:rStyle w:val="43"/>
                      <w:color w:val="auto"/>
                      <w:kern w:val="0"/>
                      <w:szCs w:val="21"/>
                    </w:rPr>
                  </w:pPr>
                  <w:r>
                    <w:rPr>
                      <w:rStyle w:val="43"/>
                      <w:color w:val="auto"/>
                      <w:kern w:val="0"/>
                      <w:szCs w:val="21"/>
                    </w:rPr>
                    <w:t>1段堤防长度为992m（桩号：广左0+000.00m～广左0+992.00m），位于广坪河左岸，堤首接陡峭山崖（坐标：X=3610580.05,Y=579654.45），堤尾接已建防洪堤（坐标：X=3610510.12,Y=578893.01）形成防洪闭合圈，堤型采用碾压砂卵石料砼面板生态堤，堤首采用重力式挡墙+生态护坡连接，该段无碍洪建筑物。</w:t>
                  </w:r>
                </w:p>
                <w:p>
                  <w:pPr>
                    <w:adjustRightInd w:val="0"/>
                    <w:snapToGrid w:val="0"/>
                    <w:rPr>
                      <w:rStyle w:val="43"/>
                      <w:color w:val="auto"/>
                      <w:kern w:val="0"/>
                      <w:szCs w:val="21"/>
                    </w:rPr>
                  </w:pPr>
                  <w:r>
                    <w:rPr>
                      <w:rStyle w:val="43"/>
                      <w:color w:val="auto"/>
                      <w:kern w:val="0"/>
                      <w:szCs w:val="21"/>
                    </w:rPr>
                    <w:t>2段堤防长度为617m（桩号：广右0+000.00m～广右0+617.00m），位于广坪河右岸，堤首接陡峭山崖（坐标：X=3610370.00,Y=578844.76），堤尾接陡峭山崖（坐标：X=3610613.80,Y=578391.94）形成防洪闭合圈，堤型采用碾压砂卵石料砼面板生态堤，堤首尾采用重力式挡墙+生态护坡连接，该段无碍洪建筑物。</w:t>
                  </w:r>
                </w:p>
                <w:p>
                  <w:pPr>
                    <w:adjustRightInd w:val="0"/>
                    <w:snapToGrid w:val="0"/>
                    <w:rPr>
                      <w:rStyle w:val="43"/>
                      <w:color w:val="auto"/>
                      <w:kern w:val="0"/>
                      <w:szCs w:val="21"/>
                    </w:rPr>
                  </w:pPr>
                  <w:r>
                    <w:rPr>
                      <w:rStyle w:val="43"/>
                      <w:color w:val="auto"/>
                      <w:kern w:val="0"/>
                      <w:szCs w:val="21"/>
                    </w:rPr>
                    <w:t>3段堤防长度为786m（桩号：广右0+000.00m～广右0+786.00m），位于广坪河右岸，堤首接便桥桥墩（坐标：X=3610487.65,Y=578003.96），堤尾接广坪河3号桥桥墩（坐标：X=3610004.94,Y=577774.05）形成防洪闭合圈，堤型采用碾压砂卵石料砼面板生态堤，堤尾采用C20砼面板连接，该段无碍洪建筑物。</w:t>
                  </w:r>
                </w:p>
                <w:p>
                  <w:pPr>
                    <w:adjustRightInd w:val="0"/>
                    <w:snapToGrid w:val="0"/>
                    <w:rPr>
                      <w:rStyle w:val="43"/>
                      <w:color w:val="auto"/>
                      <w:kern w:val="0"/>
                      <w:szCs w:val="21"/>
                    </w:rPr>
                  </w:pPr>
                  <w:r>
                    <w:rPr>
                      <w:rStyle w:val="43"/>
                      <w:color w:val="auto"/>
                      <w:kern w:val="0"/>
                      <w:szCs w:val="21"/>
                    </w:rPr>
                    <w:t>4段堤防长度为556m（桩号：广左0+000.00m～广左0+556.00m），位于广坪河左岸，堤首接陡峭山崖（坐标：X=3610145.98,Y=577493.77），堤尾接已建仇坝村堤防（坐标：X=3609769.95,Y=577866.43）形成防洪闭合圈，堤型全段采用碾压砂卵石料砼面板生态堤，该段无碍洪建筑物。</w:t>
                  </w:r>
                </w:p>
                <w:p>
                  <w:pPr>
                    <w:adjustRightInd w:val="0"/>
                    <w:snapToGrid w:val="0"/>
                    <w:rPr>
                      <w:rStyle w:val="43"/>
                      <w:color w:val="auto"/>
                      <w:kern w:val="0"/>
                      <w:szCs w:val="21"/>
                    </w:rPr>
                  </w:pPr>
                  <w:r>
                    <w:rPr>
                      <w:rStyle w:val="43"/>
                      <w:color w:val="auto"/>
                      <w:kern w:val="0"/>
                      <w:szCs w:val="21"/>
                    </w:rPr>
                    <w:t>5段堤防长度为350m（桩号：广左0+000.00m～广左0+350.00m），位于广坪河左岸，堤首接陡峭山崖（坐标：X=3609351.37,Y=577379.33），堤尾接村道（坐标：X=3609441.65,Y=577056.47）形成防洪闭合圈，堤型全段采用碾压砂卵石料砼面板生态堤，该段无碍洪建筑物。</w:t>
                  </w:r>
                </w:p>
                <w:p>
                  <w:pPr>
                    <w:adjustRightInd w:val="0"/>
                    <w:snapToGrid w:val="0"/>
                    <w:rPr>
                      <w:rStyle w:val="43"/>
                      <w:b/>
                      <w:bCs/>
                      <w:color w:val="auto"/>
                      <w:kern w:val="0"/>
                      <w:szCs w:val="21"/>
                    </w:rPr>
                  </w:pPr>
                  <w:r>
                    <w:rPr>
                      <w:rStyle w:val="43"/>
                      <w:color w:val="auto"/>
                      <w:kern w:val="0"/>
                      <w:szCs w:val="21"/>
                    </w:rPr>
                    <w:t>6段堤防长度为367m（桩号：广右0+000.00m～广右0+367.00m），位于广坪河右岸，堤首接陡峭山崖（坐标：X=3609291.32,Y=577034.75），堤尾接村道桥梁桥墩（坐标：X=3609515.52,Y=576811.25）形成防洪闭合圈，堤型采用碾压砂卵石料砼面板生态堤，堤首采用重力式挡墙+生态护坡连接，该段无碍洪建筑物。</w:t>
                  </w:r>
                  <w:r>
                    <w:rPr>
                      <w:rStyle w:val="43"/>
                      <w:b/>
                      <w:bCs/>
                      <w:color w:val="auto"/>
                      <w:kern w:val="0"/>
                      <w:szCs w:val="21"/>
                    </w:rPr>
                    <w:t>6段堤防由于建设单位工程调整，该段堤防将不予实施。</w:t>
                  </w:r>
                </w:p>
                <w:p>
                  <w:pPr>
                    <w:adjustRightInd w:val="0"/>
                    <w:snapToGrid w:val="0"/>
                    <w:rPr>
                      <w:rStyle w:val="43"/>
                      <w:color w:val="auto"/>
                      <w:kern w:val="0"/>
                      <w:szCs w:val="21"/>
                    </w:rPr>
                  </w:pPr>
                  <w:r>
                    <w:rPr>
                      <w:rStyle w:val="43"/>
                      <w:color w:val="auto"/>
                      <w:kern w:val="0"/>
                      <w:szCs w:val="21"/>
                    </w:rPr>
                    <w:t>防洪治理工程采用碾压砂卵石料砼面板生态堤。</w:t>
                  </w:r>
                </w:p>
                <w:p>
                  <w:pPr>
                    <w:adjustRightInd w:val="0"/>
                    <w:snapToGrid w:val="0"/>
                    <w:rPr>
                      <w:color w:val="auto"/>
                      <w:szCs w:val="21"/>
                    </w:rPr>
                  </w:pPr>
                  <w:r>
                    <w:rPr>
                      <w:rStyle w:val="43"/>
                      <w:color w:val="auto"/>
                      <w:kern w:val="0"/>
                      <w:szCs w:val="21"/>
                    </w:rPr>
                    <w:t>堤身采用砂卵石碾压填筑，堤顶宽3m，堤顶路面采用20cm厚C20砼现浇，两侧设0.25m×0.4m（宽×高）路肩石，临河侧设1.2m高人行栏杆，堤后回填边坡1：1.75m，坡脚设置C20砼排水沟(30cm×30cm)；在2年一遇设计洪水设一级马道，马道宽2.0m，马道路面采用20cm厚C20砼现浇路面，临河一侧设置0.5m高警示栏杆；马道以上边坡1:1.75，采用C20钢筋砼框格梁植草护坡，框格尺寸为5m×4m（长×宽）；马道以下边坡1:1.75，采用20cm厚C20砼面板护坡，下设5cm厚M7.5砂浆垫层。为适应不均匀沉降变形要求，防洪堤沿轴线方向每10m设置一道伸缩缝，缝宽2cm，缝内填充沥青木板。坡面梅花形设置DN75PVC排水管，坡度5%，间排距2.0m，基础埋深2.0，2.5m、3.0m。</w:t>
                  </w:r>
                </w:p>
              </w:tc>
              <w:tc>
                <w:tcPr>
                  <w:tcW w:w="698"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hint="eastAsia" w:ascii="Times New Roman" w:hAnsi="Times New Roman" w:cs="Times New Roman"/>
                      <w:color w:val="auto"/>
                      <w:lang w:val="en-US" w:eastAsia="zh-CN"/>
                    </w:rPr>
                    <w:t>施工期严格执行了相关环保措施，施工期未受到周边居民投诉。</w:t>
                  </w:r>
                </w:p>
              </w:tc>
              <w:tc>
                <w:tcPr>
                  <w:tcW w:w="338"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spacing w:before="48" w:beforeLines="20" w:after="48" w:afterLines="20"/>
                    <w:rPr>
                      <w:rFonts w:hint="eastAsia" w:ascii="Times New Roman" w:hAnsi="Times New Roman" w:eastAsia="宋体" w:cs="Times New Roman"/>
                      <w:color w:val="auto"/>
                      <w:lang w:eastAsia="zh-CN"/>
                    </w:rPr>
                  </w:pPr>
                  <w:r>
                    <w:rPr>
                      <w:rFonts w:hint="eastAsia" w:ascii="Times New Roman" w:hAnsi="Times New Roman" w:cs="Times New Roman"/>
                      <w:color w:va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清淤疏浚工程</w:t>
                  </w:r>
                </w:p>
              </w:tc>
              <w:tc>
                <w:tcPr>
                  <w:tcW w:w="2621" w:type="pct"/>
                  <w:vAlign w:val="center"/>
                </w:tcPr>
                <w:p>
                  <w:pPr>
                    <w:adjustRightInd w:val="0"/>
                    <w:snapToGrid w:val="0"/>
                    <w:rPr>
                      <w:color w:val="auto"/>
                      <w:szCs w:val="21"/>
                    </w:rPr>
                  </w:pPr>
                  <w:r>
                    <w:rPr>
                      <w:color w:val="auto"/>
                      <w:szCs w:val="21"/>
                    </w:rPr>
                    <w:t>本项目清淤疏浚河道共计3670m，共设置6段清淤区，具体为：</w:t>
                  </w:r>
                </w:p>
                <w:p>
                  <w:pPr>
                    <w:adjustRightInd w:val="0"/>
                    <w:snapToGrid w:val="0"/>
                    <w:rPr>
                      <w:color w:val="auto"/>
                      <w:szCs w:val="21"/>
                    </w:rPr>
                  </w:pPr>
                  <w:r>
                    <w:rPr>
                      <w:color w:val="auto"/>
                      <w:szCs w:val="21"/>
                    </w:rPr>
                    <w:t>清淤Ⅰ区，长度850m（河道桩号：广K0+800.00~广K1+650.00）；</w:t>
                  </w:r>
                </w:p>
                <w:p>
                  <w:pPr>
                    <w:adjustRightInd w:val="0"/>
                    <w:snapToGrid w:val="0"/>
                    <w:rPr>
                      <w:color w:val="auto"/>
                      <w:szCs w:val="21"/>
                    </w:rPr>
                  </w:pPr>
                  <w:r>
                    <w:rPr>
                      <w:color w:val="auto"/>
                      <w:szCs w:val="21"/>
                    </w:rPr>
                    <w:t>清淤Ⅱ区，长度580 m（河道桩号：广K2+200.00~广K2+780.00）；</w:t>
                  </w:r>
                </w:p>
                <w:p>
                  <w:pPr>
                    <w:adjustRightInd w:val="0"/>
                    <w:snapToGrid w:val="0"/>
                    <w:rPr>
                      <w:color w:val="auto"/>
                      <w:szCs w:val="21"/>
                    </w:rPr>
                  </w:pPr>
                  <w:r>
                    <w:rPr>
                      <w:color w:val="auto"/>
                      <w:szCs w:val="21"/>
                    </w:rPr>
                    <w:t>清淤Ⅲ区，长度780m（河道桩号：广K2+800.00~广K3+580.00）；</w:t>
                  </w:r>
                </w:p>
                <w:p>
                  <w:pPr>
                    <w:adjustRightInd w:val="0"/>
                    <w:snapToGrid w:val="0"/>
                    <w:rPr>
                      <w:color w:val="auto"/>
                      <w:szCs w:val="21"/>
                    </w:rPr>
                  </w:pPr>
                  <w:r>
                    <w:rPr>
                      <w:color w:val="auto"/>
                      <w:szCs w:val="21"/>
                    </w:rPr>
                    <w:t>清淤Ⅳ区，长度520m（河道桩号：广K4+000.00~广K4+520.00）；</w:t>
                  </w:r>
                </w:p>
                <w:p>
                  <w:pPr>
                    <w:adjustRightInd w:val="0"/>
                    <w:snapToGrid w:val="0"/>
                    <w:rPr>
                      <w:color w:val="auto"/>
                      <w:szCs w:val="21"/>
                    </w:rPr>
                  </w:pPr>
                  <w:r>
                    <w:rPr>
                      <w:color w:val="auto"/>
                      <w:szCs w:val="21"/>
                    </w:rPr>
                    <w:t>清淤Ⅴ区，长度240m（河道桩号：广K4+850.00~广K5+090.00）；</w:t>
                  </w:r>
                </w:p>
                <w:p>
                  <w:pPr>
                    <w:adjustRightInd w:val="0"/>
                    <w:snapToGrid w:val="0"/>
                    <w:rPr>
                      <w:color w:val="auto"/>
                      <w:szCs w:val="21"/>
                    </w:rPr>
                  </w:pPr>
                  <w:r>
                    <w:rPr>
                      <w:color w:val="auto"/>
                      <w:szCs w:val="21"/>
                    </w:rPr>
                    <w:t>清淤Ⅵ区，长度700m（河道桩号：广K6+710.00~广K7+410.00），其中清淤Ⅵ区－1，长度400m；清淤Ⅵ区－2，长度300m。</w:t>
                  </w:r>
                </w:p>
                <w:p>
                  <w:pPr>
                    <w:adjustRightInd w:val="0"/>
                    <w:snapToGrid w:val="0"/>
                    <w:rPr>
                      <w:b/>
                      <w:bCs/>
                      <w:color w:val="auto"/>
                      <w:szCs w:val="21"/>
                    </w:rPr>
                  </w:pPr>
                  <w:r>
                    <w:rPr>
                      <w:b/>
                      <w:bCs/>
                      <w:color w:val="auto"/>
                      <w:szCs w:val="21"/>
                    </w:rPr>
                    <w:t>其中清淤Ⅰ区、清淤Ⅱ区及清淤Ⅵ区－1涉及保护区滩涂大面积占用，协商后不予实施。</w:t>
                  </w:r>
                </w:p>
                <w:p>
                  <w:pPr>
                    <w:adjustRightInd w:val="0"/>
                    <w:snapToGrid w:val="0"/>
                    <w:rPr>
                      <w:color w:val="auto"/>
                      <w:szCs w:val="21"/>
                    </w:rPr>
                  </w:pPr>
                  <w:r>
                    <w:rPr>
                      <w:color w:val="auto"/>
                      <w:szCs w:val="21"/>
                    </w:rPr>
                    <w:t>本次工程清淤疏浚量共</w:t>
                  </w:r>
                  <w:r>
                    <w:rPr>
                      <w:rFonts w:hint="eastAsia"/>
                      <w:color w:val="auto"/>
                      <w:szCs w:val="21"/>
                      <w:lang w:val="en-US" w:eastAsia="zh-CN"/>
                    </w:rPr>
                    <w:t>20</w:t>
                  </w:r>
                  <w:r>
                    <w:rPr>
                      <w:color w:val="auto"/>
                      <w:szCs w:val="21"/>
                    </w:rPr>
                    <w:t>.3</w:t>
                  </w:r>
                  <w:r>
                    <w:rPr>
                      <w:rFonts w:hint="eastAsia"/>
                      <w:color w:val="auto"/>
                      <w:szCs w:val="21"/>
                      <w:lang w:val="en-US" w:eastAsia="zh-CN"/>
                    </w:rPr>
                    <w:t>1</w:t>
                  </w:r>
                  <w:r>
                    <w:rPr>
                      <w:color w:val="auto"/>
                      <w:szCs w:val="21"/>
                    </w:rPr>
                    <w:t>万m</w:t>
                  </w:r>
                  <w:r>
                    <w:rPr>
                      <w:color w:val="auto"/>
                      <w:szCs w:val="21"/>
                      <w:vertAlign w:val="superscript"/>
                    </w:rPr>
                    <w:t>3</w:t>
                  </w:r>
                  <w:r>
                    <w:rPr>
                      <w:color w:val="auto"/>
                      <w:szCs w:val="21"/>
                    </w:rPr>
                    <w:t>，设计将清淤料（砂砾石）经</w:t>
                  </w:r>
                  <w:r>
                    <w:rPr>
                      <w:rFonts w:hint="eastAsia"/>
                      <w:color w:val="auto"/>
                      <w:szCs w:val="21"/>
                      <w:lang w:val="en-US" w:eastAsia="zh-CN"/>
                    </w:rPr>
                    <w:t>晾晒</w:t>
                  </w:r>
                  <w:r>
                    <w:rPr>
                      <w:color w:val="auto"/>
                      <w:szCs w:val="21"/>
                    </w:rPr>
                    <w:t>脱水后，暂存至临时堆料场</w:t>
                  </w:r>
                  <w:r>
                    <w:rPr>
                      <w:rFonts w:hint="eastAsia"/>
                      <w:color w:val="auto"/>
                      <w:szCs w:val="21"/>
                      <w:lang w:eastAsia="zh-CN"/>
                    </w:rPr>
                    <w:t>，</w:t>
                  </w:r>
                  <w:r>
                    <w:rPr>
                      <w:rFonts w:hint="eastAsia"/>
                      <w:color w:val="auto"/>
                      <w:szCs w:val="21"/>
                      <w:lang w:val="en-US" w:eastAsia="zh-CN"/>
                    </w:rPr>
                    <w:t>用于</w:t>
                  </w:r>
                  <w:r>
                    <w:rPr>
                      <w:color w:val="auto"/>
                      <w:szCs w:val="21"/>
                    </w:rPr>
                    <w:t>堤身筑料</w:t>
                  </w:r>
                  <w:r>
                    <w:rPr>
                      <w:rFonts w:hint="eastAsia"/>
                      <w:color w:val="auto"/>
                      <w:szCs w:val="21"/>
                      <w:lang w:val="en-US" w:eastAsia="zh-CN"/>
                    </w:rPr>
                    <w:t>及堤后低洼处（部分堤防堤后3m内）回填</w:t>
                  </w:r>
                  <w:r>
                    <w:rPr>
                      <w:color w:val="auto"/>
                      <w:szCs w:val="21"/>
                    </w:rPr>
                    <w:t>。</w:t>
                  </w:r>
                </w:p>
              </w:tc>
              <w:tc>
                <w:tcPr>
                  <w:tcW w:w="69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3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95" w:type="pct"/>
                  <w:vAlign w:val="center"/>
                </w:tcPr>
                <w:p>
                  <w:pPr>
                    <w:pStyle w:val="234"/>
                    <w:adjustRightInd w:val="0"/>
                    <w:snapToGrid w:val="0"/>
                    <w:spacing w:before="48" w:beforeLines="20" w:after="48" w:afterLines="20"/>
                    <w:rPr>
                      <w:rFonts w:hint="eastAsia" w:ascii="Times New Roman" w:hAnsi="Times New Roman" w:eastAsia="宋体" w:cs="Times New Roman"/>
                      <w:color w:val="auto"/>
                      <w:lang w:eastAsia="zh-CN"/>
                    </w:rPr>
                  </w:pPr>
                  <w:r>
                    <w:rPr>
                      <w:rFonts w:hint="eastAsia" w:ascii="Times New Roman" w:hAnsi="Times New Roman" w:cs="Times New Roman"/>
                      <w:color w:val="auto"/>
                      <w:lang w:val="en-US" w:eastAsia="zh-CN"/>
                    </w:rPr>
                    <w:t>已实施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公用工程</w:t>
                  </w: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供水</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施工用水采用水泵从河中直接抽取（本次环评要求不得在嘉陵江源湿地市级自然保护区内取水）。生活用水依托租用农户房屋管网集中供水。</w:t>
                  </w:r>
                </w:p>
              </w:tc>
              <w:tc>
                <w:tcPr>
                  <w:tcW w:w="698" w:type="pc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w:t>
                  </w:r>
                </w:p>
              </w:tc>
              <w:tc>
                <w:tcPr>
                  <w:tcW w:w="338" w:type="pc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供电</w:t>
                  </w:r>
                </w:p>
              </w:tc>
              <w:tc>
                <w:tcPr>
                  <w:tcW w:w="2621" w:type="pct"/>
                  <w:vAlign w:val="center"/>
                </w:tcPr>
                <w:p>
                  <w:pPr>
                    <w:rPr>
                      <w:color w:val="auto"/>
                      <w:szCs w:val="21"/>
                    </w:rPr>
                  </w:pPr>
                  <w:r>
                    <w:rPr>
                      <w:color w:val="auto"/>
                      <w:szCs w:val="21"/>
                    </w:rPr>
                    <w:t>工程用电由场镇35kV变电站架设一条临时线路，10kV出线输送至各工区，并在各区设置降压站，供各工区的作业点用电所需，线路长2.0km。实施堤防工程共分2个供电区，分别上段堤防、中下段堤防处各1台50kVA变压器，1台100kVA变压器，备用1台50kW柴油发电机，可解决施工用电。</w:t>
                  </w:r>
                </w:p>
              </w:tc>
              <w:tc>
                <w:tcPr>
                  <w:tcW w:w="698" w:type="pc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w:t>
                  </w:r>
                </w:p>
              </w:tc>
              <w:tc>
                <w:tcPr>
                  <w:tcW w:w="338" w:type="pc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临时/辅助工程</w:t>
                  </w: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施工</w:t>
                  </w:r>
                </w:p>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道路</w:t>
                  </w:r>
                </w:p>
              </w:tc>
              <w:tc>
                <w:tcPr>
                  <w:tcW w:w="2621" w:type="pct"/>
                  <w:vAlign w:val="center"/>
                </w:tcPr>
                <w:p>
                  <w:pPr>
                    <w:adjustRightInd w:val="0"/>
                    <w:snapToGrid w:val="0"/>
                    <w:rPr>
                      <w:color w:val="auto"/>
                      <w:szCs w:val="21"/>
                    </w:rPr>
                  </w:pPr>
                  <w:r>
                    <w:rPr>
                      <w:color w:val="auto"/>
                      <w:szCs w:val="21"/>
                    </w:rPr>
                    <w:t>整个工程区有村道、乡道公路贯通，工程内外交通十分方便，因此本项目不设置临时施工便道，利用既有的乡村道路进行材料运输。</w:t>
                  </w:r>
                </w:p>
              </w:tc>
              <w:tc>
                <w:tcPr>
                  <w:tcW w:w="69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33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车辆维修</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本工程施工机械及设备大修委托朝天镇汽修厂解决，施工现场不设大型机械修配厂和汽车保养站。</w:t>
                  </w:r>
                </w:p>
              </w:tc>
              <w:tc>
                <w:tcPr>
                  <w:tcW w:w="69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33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混凝土拌合系统</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本项目使用外购商品混凝土，不设混凝土拌合系统</w:t>
                  </w:r>
                </w:p>
              </w:tc>
              <w:tc>
                <w:tcPr>
                  <w:tcW w:w="69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33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施工场地</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根据堤防工程的分布，为便于施工管理，本堤防工程设置1个施工场地，位于</w:t>
                  </w:r>
                  <w:r>
                    <w:rPr>
                      <w:rFonts w:hint="eastAsia" w:ascii="Times New Roman" w:hAnsi="Times New Roman" w:cs="Times New Roman"/>
                      <w:color w:val="auto"/>
                      <w:lang w:val="en-US" w:eastAsia="zh-CN"/>
                    </w:rPr>
                    <w:t>广K4+000附近，清淤</w:t>
                  </w:r>
                  <w:r>
                    <w:rPr>
                      <w:rFonts w:hint="default" w:ascii="Times New Roman" w:hAnsi="Times New Roman" w:cs="Times New Roman"/>
                      <w:color w:val="auto"/>
                      <w:lang w:val="en-US" w:eastAsia="zh-CN"/>
                    </w:rPr>
                    <w:t>Ⅳ</w:t>
                  </w:r>
                  <w:r>
                    <w:rPr>
                      <w:rFonts w:hint="eastAsia" w:ascii="Times New Roman" w:hAnsi="Times New Roman" w:cs="Times New Roman"/>
                      <w:color w:val="auto"/>
                      <w:lang w:val="en-US" w:eastAsia="zh-CN"/>
                    </w:rPr>
                    <w:t>区左岸</w:t>
                  </w:r>
                  <w:r>
                    <w:rPr>
                      <w:rFonts w:ascii="Times New Roman" w:hAnsi="Times New Roman" w:cs="Times New Roman"/>
                      <w:color w:val="auto"/>
                    </w:rPr>
                    <w:t>，占地面积约2000m</w:t>
                  </w:r>
                  <w:r>
                    <w:rPr>
                      <w:rFonts w:ascii="Times New Roman" w:hAnsi="Times New Roman" w:cs="Times New Roman"/>
                      <w:color w:val="auto"/>
                      <w:vertAlign w:val="superscript"/>
                    </w:rPr>
                    <w:t>2</w:t>
                  </w:r>
                  <w:r>
                    <w:rPr>
                      <w:rFonts w:ascii="Times New Roman" w:hAnsi="Times New Roman" w:cs="Times New Roman"/>
                      <w:color w:val="auto"/>
                    </w:rPr>
                    <w:t>，场地内主要设置1个综合加工区、1个机械停放场、1间材料仓库以及1个车辆停放场及沉淀池等。综合加工区位于施工场地北侧，占地面积约800m</w:t>
                  </w:r>
                  <w:r>
                    <w:rPr>
                      <w:rFonts w:ascii="Times New Roman" w:hAnsi="Times New Roman" w:cs="Times New Roman"/>
                      <w:color w:val="auto"/>
                      <w:vertAlign w:val="superscript"/>
                    </w:rPr>
                    <w:t>2</w:t>
                  </w:r>
                  <w:r>
                    <w:rPr>
                      <w:rFonts w:ascii="Times New Roman" w:hAnsi="Times New Roman" w:cs="Times New Roman"/>
                      <w:color w:val="auto"/>
                    </w:rPr>
                    <w:t>；机械停放场位于中部，占地面积约600m</w:t>
                  </w:r>
                  <w:r>
                    <w:rPr>
                      <w:rFonts w:ascii="Times New Roman" w:hAnsi="Times New Roman" w:cs="Times New Roman"/>
                      <w:color w:val="auto"/>
                      <w:vertAlign w:val="superscript"/>
                    </w:rPr>
                    <w:t>2</w:t>
                  </w:r>
                  <w:r>
                    <w:rPr>
                      <w:rFonts w:ascii="Times New Roman" w:hAnsi="Times New Roman" w:cs="Times New Roman"/>
                      <w:color w:val="auto"/>
                    </w:rPr>
                    <w:t>；材料仓库位于施工场地南侧，占地面积约400m</w:t>
                  </w:r>
                  <w:r>
                    <w:rPr>
                      <w:rFonts w:ascii="Times New Roman" w:hAnsi="Times New Roman" w:cs="Times New Roman"/>
                      <w:color w:val="auto"/>
                      <w:vertAlign w:val="superscript"/>
                    </w:rPr>
                    <w:t>2</w:t>
                  </w:r>
                  <w:r>
                    <w:rPr>
                      <w:rFonts w:ascii="Times New Roman" w:hAnsi="Times New Roman" w:cs="Times New Roman"/>
                      <w:color w:val="auto"/>
                    </w:rPr>
                    <w:t>；车辆停放场及隔油沉淀池（1个，10m</w:t>
                  </w:r>
                  <w:r>
                    <w:rPr>
                      <w:rFonts w:ascii="Times New Roman" w:hAnsi="Times New Roman" w:cs="Times New Roman"/>
                      <w:color w:val="auto"/>
                      <w:vertAlign w:val="superscript"/>
                    </w:rPr>
                    <w:t>3</w:t>
                  </w:r>
                  <w:r>
                    <w:rPr>
                      <w:rFonts w:ascii="Times New Roman" w:hAnsi="Times New Roman" w:cs="Times New Roman"/>
                      <w:color w:val="auto"/>
                    </w:rPr>
                    <w:t>）位于施工场地南侧，占地面积约200m</w:t>
                  </w:r>
                  <w:r>
                    <w:rPr>
                      <w:rFonts w:ascii="Times New Roman" w:hAnsi="Times New Roman" w:cs="Times New Roman"/>
                      <w:color w:val="auto"/>
                      <w:vertAlign w:val="superscript"/>
                    </w:rPr>
                    <w:t>2</w:t>
                  </w:r>
                  <w:r>
                    <w:rPr>
                      <w:rFonts w:ascii="Times New Roman" w:hAnsi="Times New Roman" w:cs="Times New Roman"/>
                      <w:color w:val="auto"/>
                    </w:rPr>
                    <w:t>。</w:t>
                  </w:r>
                </w:p>
              </w:tc>
              <w:tc>
                <w:tcPr>
                  <w:tcW w:w="698"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hint="eastAsia" w:ascii="Times New Roman" w:hAnsi="Times New Roman" w:cs="Times New Roman"/>
                      <w:color w:val="auto"/>
                      <w:lang w:val="en-US" w:eastAsia="zh-CN"/>
                    </w:rPr>
                    <w:t>施工场地、临时堆场已进行迹地恢复</w:t>
                  </w:r>
                </w:p>
              </w:tc>
              <w:tc>
                <w:tcPr>
                  <w:tcW w:w="33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spacing w:before="48" w:beforeLines="20" w:after="48" w:afterLines="20"/>
                    <w:rPr>
                      <w:rFonts w:ascii="Times New Roman" w:hAnsi="Times New Roman" w:cs="Times New Roman"/>
                      <w:color w:val="auto"/>
                    </w:rPr>
                  </w:pPr>
                  <w:r>
                    <w:rPr>
                      <w:rFonts w:hint="eastAsia" w:ascii="Times New Roman" w:hAnsi="Times New Roman" w:cs="Times New Roman"/>
                      <w:color w:val="auto"/>
                      <w:lang w:val="en-US" w:eastAsia="zh-CN"/>
                    </w:rPr>
                    <w:t>已恢复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临时围堰</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共设置2处临时围堰，总长度544m</w:t>
                  </w:r>
                </w:p>
              </w:tc>
              <w:tc>
                <w:tcPr>
                  <w:tcW w:w="69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33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临时堆料场</w:t>
                  </w:r>
                </w:p>
              </w:tc>
              <w:tc>
                <w:tcPr>
                  <w:tcW w:w="2621" w:type="pct"/>
                  <w:vAlign w:val="center"/>
                </w:tcPr>
                <w:p>
                  <w:pPr>
                    <w:pStyle w:val="234"/>
                    <w:adjustRightInd w:val="0"/>
                    <w:snapToGrid w:val="0"/>
                    <w:spacing w:before="48" w:beforeLines="20" w:after="48" w:afterLines="20"/>
                    <w:jc w:val="both"/>
                    <w:rPr>
                      <w:rFonts w:hint="eastAsia" w:ascii="Times New Roman" w:hAnsi="Times New Roman" w:eastAsia="宋体" w:cs="Times New Roman"/>
                      <w:color w:val="auto"/>
                      <w:vertAlign w:val="baseline"/>
                      <w:lang w:eastAsia="zh-CN"/>
                    </w:rPr>
                  </w:pPr>
                  <w:r>
                    <w:rPr>
                      <w:rFonts w:ascii="Times New Roman" w:hAnsi="Times New Roman" w:cs="Times New Roman"/>
                      <w:color w:val="auto"/>
                    </w:rPr>
                    <w:t>本项目设置2处临时堆料场，其中1处用于临时堆存</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晾晒</w:t>
                  </w:r>
                  <w:r>
                    <w:rPr>
                      <w:rFonts w:ascii="Times New Roman" w:hAnsi="Times New Roman" w:cs="Times New Roman"/>
                      <w:color w:val="auto"/>
                    </w:rPr>
                    <w:t>河道疏挖产生的可利用清淤料，总占地面积约3100m</w:t>
                  </w:r>
                  <w:r>
                    <w:rPr>
                      <w:rFonts w:ascii="Times New Roman" w:hAnsi="Times New Roman" w:cs="Times New Roman"/>
                      <w:color w:val="auto"/>
                      <w:vertAlign w:val="superscript"/>
                    </w:rPr>
                    <w:t>2</w:t>
                  </w:r>
                  <w:r>
                    <w:rPr>
                      <w:rFonts w:ascii="Times New Roman" w:hAnsi="Times New Roman" w:cs="Times New Roman"/>
                      <w:color w:val="auto"/>
                    </w:rPr>
                    <w:t>，1处用于施工表土临时堆放，占地面积约1300m</w:t>
                  </w:r>
                  <w:r>
                    <w:rPr>
                      <w:rFonts w:ascii="Times New Roman" w:hAnsi="Times New Roman" w:cs="Times New Roman"/>
                      <w:color w:val="auto"/>
                      <w:vertAlign w:val="superscript"/>
                    </w:rPr>
                    <w:t>2</w:t>
                  </w:r>
                  <w:r>
                    <w:rPr>
                      <w:rFonts w:hint="eastAsia" w:ascii="Times New Roman" w:hAnsi="Times New Roman" w:cs="Times New Roman"/>
                      <w:color w:val="auto"/>
                      <w:vertAlign w:val="baseline"/>
                      <w:lang w:eastAsia="zh-CN"/>
                    </w:rPr>
                    <w:t>，</w:t>
                  </w:r>
                  <w:r>
                    <w:rPr>
                      <w:rFonts w:hint="eastAsia" w:ascii="Times New Roman" w:hAnsi="Times New Roman" w:cs="Times New Roman"/>
                      <w:color w:val="auto"/>
                      <w:vertAlign w:val="baseline"/>
                      <w:lang w:val="en-US" w:eastAsia="zh-CN"/>
                    </w:rPr>
                    <w:t>均位于</w:t>
                  </w:r>
                  <w:r>
                    <w:rPr>
                      <w:rFonts w:ascii="Times New Roman" w:hAnsi="Times New Roman" w:cs="Times New Roman"/>
                      <w:color w:val="auto"/>
                    </w:rPr>
                    <w:t>广K4+200</w:t>
                  </w:r>
                  <w:r>
                    <w:rPr>
                      <w:rFonts w:hint="eastAsia" w:ascii="Times New Roman" w:hAnsi="Times New Roman" w:cs="Times New Roman"/>
                      <w:color w:val="auto"/>
                      <w:lang w:val="en-US" w:eastAsia="zh-CN"/>
                    </w:rPr>
                    <w:t>附近，清淤</w:t>
                  </w:r>
                  <w:r>
                    <w:rPr>
                      <w:rFonts w:hint="default" w:ascii="Times New Roman" w:hAnsi="Times New Roman" w:cs="Times New Roman"/>
                      <w:color w:val="auto"/>
                      <w:lang w:val="en-US" w:eastAsia="zh-CN"/>
                    </w:rPr>
                    <w:t>Ⅳ</w:t>
                  </w:r>
                  <w:r>
                    <w:rPr>
                      <w:rFonts w:hint="eastAsia" w:ascii="Times New Roman" w:hAnsi="Times New Roman" w:cs="Times New Roman"/>
                      <w:color w:val="auto"/>
                      <w:lang w:val="en-US" w:eastAsia="zh-CN"/>
                    </w:rPr>
                    <w:t>区左岸。</w:t>
                  </w:r>
                </w:p>
              </w:tc>
              <w:tc>
                <w:tcPr>
                  <w:tcW w:w="69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338"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w:t>
                  </w:r>
                </w:p>
              </w:tc>
              <w:tc>
                <w:tcPr>
                  <w:tcW w:w="495" w:type="pct"/>
                  <w:vAlign w:val="center"/>
                </w:tcPr>
                <w:p>
                  <w:pPr>
                    <w:pStyle w:val="234"/>
                    <w:adjustRightInd w:val="0"/>
                    <w:snapToGrid w:val="0"/>
                    <w:spacing w:before="48" w:beforeLines="20" w:after="48" w:afterLines="20"/>
                    <w:rPr>
                      <w:rFonts w:ascii="Times New Roman" w:hAnsi="Times New Roman" w:cs="Times New Roman"/>
                      <w:color w:val="auto"/>
                    </w:rPr>
                  </w:pPr>
                  <w:r>
                    <w:rPr>
                      <w:rFonts w:hint="eastAsia" w:ascii="Times New Roman" w:hAnsi="Times New Roman" w:cs="Times New Roman"/>
                      <w:color w:val="auto"/>
                      <w:lang w:val="en-US" w:eastAsia="zh-CN"/>
                    </w:rPr>
                    <w:t>已恢复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环保工程</w:t>
                  </w:r>
                </w:p>
              </w:tc>
              <w:tc>
                <w:tcPr>
                  <w:tcW w:w="406"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废水治理</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施工生活污水：本项目不设置施工营地，工程施工期产生的生活污水依托租用居民房屋已建化粪池处理后用于周边农田及林地施肥，不外排。</w:t>
                  </w:r>
                </w:p>
              </w:tc>
              <w:tc>
                <w:tcPr>
                  <w:tcW w:w="698" w:type="pct"/>
                  <w:vMerge w:val="restar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w:t>
                  </w:r>
                </w:p>
              </w:tc>
              <w:tc>
                <w:tcPr>
                  <w:tcW w:w="338" w:type="pct"/>
                  <w:vMerge w:val="restart"/>
                  <w:vAlign w:val="center"/>
                </w:tcPr>
                <w:p>
                  <w:pPr>
                    <w:pStyle w:val="234"/>
                    <w:adjustRightInd w:val="0"/>
                    <w:snapToGrid w:val="0"/>
                    <w:rPr>
                      <w:rFonts w:ascii="Times New Roman" w:hAnsi="Times New Roman" w:cs="Times New Roman"/>
                      <w:color w:val="auto"/>
                    </w:rPr>
                  </w:pPr>
                  <w:r>
                    <w:rPr>
                      <w:rFonts w:ascii="Times New Roman" w:hAnsi="Times New Roman" w:cs="Times New Roman"/>
                      <w:color w:val="auto"/>
                    </w:rPr>
                    <w:t>/</w:t>
                  </w:r>
                </w:p>
              </w:tc>
              <w:tc>
                <w:tcPr>
                  <w:tcW w:w="495" w:type="pct"/>
                  <w:vMerge w:val="restart"/>
                  <w:vAlign w:val="center"/>
                </w:tcPr>
                <w:p>
                  <w:pPr>
                    <w:pStyle w:val="234"/>
                    <w:adjustRightInd w:val="0"/>
                    <w:snapToGrid w:val="0"/>
                    <w:spacing w:before="48" w:beforeLines="20" w:after="48" w:afterLines="2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施工期严格按照相关要求执行相应环保措施，未受到周边居民投诉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车辆冲洗废水：在施工机械停放场四周布置排水沟，收集施工机械冲洗产生的废水，废水经</w:t>
                  </w:r>
                  <w:r>
                    <w:rPr>
                      <w:rStyle w:val="43"/>
                      <w:rFonts w:ascii="Times New Roman" w:hAnsi="Times New Roman" w:cs="Times New Roman"/>
                      <w:color w:val="auto"/>
                    </w:rPr>
                    <w:t>隔油沉淀池</w:t>
                  </w:r>
                  <w:r>
                    <w:rPr>
                      <w:rFonts w:ascii="Times New Roman" w:hAnsi="Times New Roman" w:cs="Times New Roman"/>
                      <w:color w:val="auto"/>
                    </w:rPr>
                    <w:t>（10m</w:t>
                  </w:r>
                  <w:r>
                    <w:rPr>
                      <w:rFonts w:ascii="Times New Roman" w:hAnsi="Times New Roman" w:cs="Times New Roman"/>
                      <w:color w:val="auto"/>
                      <w:vertAlign w:val="superscript"/>
                    </w:rPr>
                    <w:t>3</w:t>
                  </w:r>
                  <w:r>
                    <w:rPr>
                      <w:rFonts w:ascii="Times New Roman" w:hAnsi="Times New Roman" w:cs="Times New Roman"/>
                      <w:color w:val="auto"/>
                    </w:rPr>
                    <w:t>）处理后用于洒水降尘。</w:t>
                  </w:r>
                </w:p>
              </w:tc>
              <w:tc>
                <w:tcPr>
                  <w:tcW w:w="698" w:type="pct"/>
                  <w:vMerge w:val="continue"/>
                  <w:vAlign w:val="center"/>
                </w:tcPr>
                <w:p>
                  <w:pPr>
                    <w:pStyle w:val="234"/>
                    <w:adjustRightInd w:val="0"/>
                    <w:snapToGrid w:val="0"/>
                    <w:rPr>
                      <w:rFonts w:ascii="Times New Roman" w:hAnsi="Times New Roman" w:cs="Times New Roman"/>
                      <w:color w:val="auto"/>
                    </w:rPr>
                  </w:pPr>
                </w:p>
              </w:tc>
              <w:tc>
                <w:tcPr>
                  <w:tcW w:w="338" w:type="pct"/>
                  <w:vMerge w:val="continue"/>
                </w:tcPr>
                <w:p>
                  <w:pPr>
                    <w:pStyle w:val="234"/>
                    <w:adjustRightInd w:val="0"/>
                    <w:snapToGrid w:val="0"/>
                    <w:rPr>
                      <w:rFonts w:ascii="Times New Roman" w:hAnsi="Times New Roman" w:cs="Times New Roman"/>
                      <w:color w:val="auto"/>
                    </w:rPr>
                  </w:pPr>
                </w:p>
              </w:tc>
              <w:tc>
                <w:tcPr>
                  <w:tcW w:w="495" w:type="pct"/>
                  <w:vMerge w:val="continue"/>
                  <w:vAlign w:val="center"/>
                </w:tcPr>
                <w:p>
                  <w:pPr>
                    <w:pStyle w:val="234"/>
                    <w:adjustRightInd w:val="0"/>
                    <w:snapToGrid w:val="0"/>
                    <w:rPr>
                      <w:rFonts w:hint="eastAsia"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基坑排水：采用水泵抽排，工程施工安排在晴天施工，排水历时较短，初期排水不考虑降雨影响。初期排水可不考虑渗水，由于基坑的较小，采用2～4台IS50-32-125型水泵，流量12.5m³/h，扬程20m，配带功率2.2kW，即可满足施工需要。</w:t>
                  </w:r>
                </w:p>
              </w:tc>
              <w:tc>
                <w:tcPr>
                  <w:tcW w:w="698" w:type="pct"/>
                  <w:vMerge w:val="continue"/>
                  <w:vAlign w:val="center"/>
                </w:tcPr>
                <w:p>
                  <w:pPr>
                    <w:pStyle w:val="234"/>
                    <w:adjustRightInd w:val="0"/>
                    <w:snapToGrid w:val="0"/>
                    <w:rPr>
                      <w:rFonts w:ascii="Times New Roman" w:hAnsi="Times New Roman" w:cs="Times New Roman"/>
                      <w:color w:val="auto"/>
                    </w:rPr>
                  </w:pPr>
                </w:p>
              </w:tc>
              <w:tc>
                <w:tcPr>
                  <w:tcW w:w="338" w:type="pct"/>
                  <w:vMerge w:val="continue"/>
                </w:tcPr>
                <w:p>
                  <w:pPr>
                    <w:pStyle w:val="234"/>
                    <w:adjustRightInd w:val="0"/>
                    <w:snapToGrid w:val="0"/>
                    <w:rPr>
                      <w:rFonts w:ascii="Times New Roman" w:hAnsi="Times New Roman" w:cs="Times New Roman"/>
                      <w:color w:val="auto"/>
                    </w:rPr>
                  </w:pPr>
                </w:p>
              </w:tc>
              <w:tc>
                <w:tcPr>
                  <w:tcW w:w="495" w:type="pct"/>
                  <w:vMerge w:val="continue"/>
                  <w:vAlign w:val="center"/>
                </w:tcPr>
                <w:p>
                  <w:pPr>
                    <w:pStyle w:val="234"/>
                    <w:adjustRightInd w:val="0"/>
                    <w:snapToGrid w:val="0"/>
                    <w:rPr>
                      <w:rFonts w:hint="eastAsia"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经常性排水：使用水泵抽排，经常性排水主要为渗透水，此外尚有基坑施工期的天然降水和施工弃水等，每段选用2～4台IS50-32-125型水泵，流量12.5m³/h，扬程20m，配带功率2.2kW，施工时段不间断排水。</w:t>
                  </w:r>
                </w:p>
              </w:tc>
              <w:tc>
                <w:tcPr>
                  <w:tcW w:w="698" w:type="pct"/>
                  <w:vMerge w:val="continue"/>
                  <w:vAlign w:val="center"/>
                </w:tcPr>
                <w:p>
                  <w:pPr>
                    <w:pStyle w:val="234"/>
                    <w:adjustRightInd w:val="0"/>
                    <w:snapToGrid w:val="0"/>
                    <w:rPr>
                      <w:rFonts w:ascii="Times New Roman" w:hAnsi="Times New Roman" w:cs="Times New Roman"/>
                      <w:color w:val="auto"/>
                    </w:rPr>
                  </w:pPr>
                </w:p>
              </w:tc>
              <w:tc>
                <w:tcPr>
                  <w:tcW w:w="338" w:type="pct"/>
                  <w:vMerge w:val="continue"/>
                </w:tcPr>
                <w:p>
                  <w:pPr>
                    <w:pStyle w:val="234"/>
                    <w:adjustRightInd w:val="0"/>
                    <w:snapToGrid w:val="0"/>
                    <w:rPr>
                      <w:rFonts w:ascii="Times New Roman" w:hAnsi="Times New Roman" w:cs="Times New Roman"/>
                      <w:color w:val="auto"/>
                    </w:rPr>
                  </w:pPr>
                </w:p>
              </w:tc>
              <w:tc>
                <w:tcPr>
                  <w:tcW w:w="495" w:type="pct"/>
                  <w:vMerge w:val="continue"/>
                  <w:vAlign w:val="center"/>
                </w:tcPr>
                <w:p>
                  <w:pPr>
                    <w:pStyle w:val="234"/>
                    <w:adjustRightInd w:val="0"/>
                    <w:snapToGrid w:val="0"/>
                    <w:rPr>
                      <w:rFonts w:hint="eastAsia"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地表水水质减缓措施：本项目大部分堤段处于河漫滩上，地面高程远高于施工枯水期洪水位，利用基坑开挖形成临时围堰。堤基、基础围堰的开挖和拆除均在12月～次年3月份的枯水期进行，以尽量减少对地表水体的扰动。</w:t>
                  </w:r>
                </w:p>
              </w:tc>
              <w:tc>
                <w:tcPr>
                  <w:tcW w:w="698" w:type="pct"/>
                  <w:vMerge w:val="continue"/>
                  <w:vAlign w:val="center"/>
                </w:tcPr>
                <w:p>
                  <w:pPr>
                    <w:pStyle w:val="234"/>
                    <w:adjustRightInd w:val="0"/>
                    <w:snapToGrid w:val="0"/>
                    <w:rPr>
                      <w:rFonts w:ascii="Times New Roman" w:hAnsi="Times New Roman" w:cs="Times New Roman"/>
                      <w:color w:val="auto"/>
                    </w:rPr>
                  </w:pPr>
                </w:p>
              </w:tc>
              <w:tc>
                <w:tcPr>
                  <w:tcW w:w="338" w:type="pct"/>
                  <w:vMerge w:val="continue"/>
                </w:tcPr>
                <w:p>
                  <w:pPr>
                    <w:pStyle w:val="234"/>
                    <w:adjustRightInd w:val="0"/>
                    <w:snapToGrid w:val="0"/>
                    <w:rPr>
                      <w:rFonts w:ascii="Times New Roman" w:hAnsi="Times New Roman" w:cs="Times New Roman"/>
                      <w:color w:val="auto"/>
                    </w:rPr>
                  </w:pPr>
                </w:p>
              </w:tc>
              <w:tc>
                <w:tcPr>
                  <w:tcW w:w="495" w:type="pct"/>
                  <w:vMerge w:val="continue"/>
                  <w:vAlign w:val="center"/>
                </w:tcPr>
                <w:p>
                  <w:pPr>
                    <w:pStyle w:val="234"/>
                    <w:adjustRightInd w:val="0"/>
                    <w:snapToGrid w:val="0"/>
                    <w:rPr>
                      <w:rFonts w:hint="eastAsia"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淤料脱水废水：开挖的清淤料经</w:t>
                  </w:r>
                  <w:r>
                    <w:rPr>
                      <w:rFonts w:hint="eastAsia" w:ascii="Times New Roman" w:hAnsi="Times New Roman" w:cs="Times New Roman"/>
                      <w:color w:val="auto"/>
                      <w:lang w:val="en-US" w:eastAsia="zh-CN"/>
                    </w:rPr>
                    <w:t>晾晒</w:t>
                  </w:r>
                  <w:r>
                    <w:rPr>
                      <w:rFonts w:ascii="Times New Roman" w:hAnsi="Times New Roman" w:cs="Times New Roman"/>
                      <w:color w:val="auto"/>
                    </w:rPr>
                    <w:t>脱水后产生的废水，收集后经临时堆料场的沉淀池处理后用于场地洒水降尘和车辆冲洗。</w:t>
                  </w:r>
                </w:p>
              </w:tc>
              <w:tc>
                <w:tcPr>
                  <w:tcW w:w="698" w:type="pct"/>
                  <w:vMerge w:val="continue"/>
                  <w:vAlign w:val="center"/>
                </w:tcPr>
                <w:p>
                  <w:pPr>
                    <w:pStyle w:val="234"/>
                    <w:adjustRightInd w:val="0"/>
                    <w:snapToGrid w:val="0"/>
                    <w:rPr>
                      <w:rFonts w:ascii="Times New Roman" w:hAnsi="Times New Roman" w:cs="Times New Roman"/>
                      <w:color w:val="auto"/>
                    </w:rPr>
                  </w:pPr>
                </w:p>
              </w:tc>
              <w:tc>
                <w:tcPr>
                  <w:tcW w:w="338" w:type="pct"/>
                  <w:vMerge w:val="continue"/>
                </w:tcPr>
                <w:p>
                  <w:pPr>
                    <w:pStyle w:val="234"/>
                    <w:adjustRightInd w:val="0"/>
                    <w:snapToGrid w:val="0"/>
                    <w:rPr>
                      <w:rFonts w:ascii="Times New Roman" w:hAnsi="Times New Roman" w:cs="Times New Roman"/>
                      <w:color w:val="auto"/>
                    </w:rPr>
                  </w:pPr>
                </w:p>
              </w:tc>
              <w:tc>
                <w:tcPr>
                  <w:tcW w:w="495" w:type="pct"/>
                  <w:vMerge w:val="continue"/>
                  <w:vAlign w:val="center"/>
                </w:tcPr>
                <w:p>
                  <w:pPr>
                    <w:pStyle w:val="234"/>
                    <w:adjustRightInd w:val="0"/>
                    <w:snapToGrid w:val="0"/>
                    <w:rPr>
                      <w:rFonts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废气治理</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设置施工工地设置硬质密闭围挡、洒水抑尘、进出车辆冲洗轮胎、临时堆场四周设置围挡，安装喷雾降尘装置，堆场使用防尘布覆盖、运输车辆密闭等。</w:t>
                  </w:r>
                </w:p>
              </w:tc>
              <w:tc>
                <w:tcPr>
                  <w:tcW w:w="69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338" w:type="pct"/>
                  <w:vMerge w:val="continue"/>
                </w:tcPr>
                <w:p>
                  <w:pPr>
                    <w:pStyle w:val="234"/>
                    <w:adjustRightInd w:val="0"/>
                    <w:snapToGrid w:val="0"/>
                    <w:spacing w:before="48" w:beforeLines="20" w:after="48" w:afterLines="20"/>
                    <w:ind w:firstLine="420"/>
                    <w:rPr>
                      <w:rFonts w:ascii="Times New Roman" w:hAnsi="Times New Roman" w:cs="Times New Roman"/>
                      <w:color w:val="auto"/>
                    </w:rPr>
                  </w:pPr>
                </w:p>
              </w:tc>
              <w:tc>
                <w:tcPr>
                  <w:tcW w:w="495" w:type="pct"/>
                  <w:vMerge w:val="continue"/>
                  <w:vAlign w:val="center"/>
                </w:tcPr>
                <w:p>
                  <w:pPr>
                    <w:pStyle w:val="234"/>
                    <w:adjustRightInd w:val="0"/>
                    <w:snapToGrid w:val="0"/>
                    <w:spacing w:before="48" w:beforeLines="20" w:after="48" w:afterLines="20"/>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噪声治理</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选用低噪声设备、加强管理，加强车辆保养；合理布局施工场地；合理安排施工时间，禁止夜间施工；优化施工车辆运行路线；高噪声施工设备远离居民区等。</w:t>
                  </w:r>
                </w:p>
              </w:tc>
              <w:tc>
                <w:tcPr>
                  <w:tcW w:w="69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338" w:type="pct"/>
                  <w:vMerge w:val="continue"/>
                </w:tcPr>
                <w:p>
                  <w:pPr>
                    <w:pStyle w:val="234"/>
                    <w:adjustRightInd w:val="0"/>
                    <w:snapToGrid w:val="0"/>
                    <w:spacing w:before="48" w:beforeLines="20" w:after="48" w:afterLines="20"/>
                    <w:ind w:firstLine="420"/>
                    <w:rPr>
                      <w:rFonts w:ascii="Times New Roman" w:hAnsi="Times New Roman" w:cs="Times New Roman"/>
                      <w:color w:val="auto"/>
                    </w:rPr>
                  </w:pPr>
                </w:p>
              </w:tc>
              <w:tc>
                <w:tcPr>
                  <w:tcW w:w="495" w:type="pct"/>
                  <w:vMerge w:val="continue"/>
                  <w:vAlign w:val="center"/>
                </w:tcPr>
                <w:p>
                  <w:pPr>
                    <w:pStyle w:val="234"/>
                    <w:adjustRightInd w:val="0"/>
                    <w:snapToGrid w:val="0"/>
                    <w:spacing w:before="48" w:beforeLines="20" w:after="48" w:afterLines="20"/>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Merge w:val="restart"/>
                  <w:vAlign w:val="center"/>
                </w:tcPr>
                <w:p>
                  <w:pPr>
                    <w:pStyle w:val="234"/>
                    <w:adjustRightInd w:val="0"/>
                    <w:snapToGrid w:val="0"/>
                    <w:spacing w:before="48" w:beforeLines="20" w:after="48" w:afterLines="20"/>
                    <w:rPr>
                      <w:rFonts w:ascii="Times New Roman" w:hAnsi="Times New Roman" w:cs="Times New Roman"/>
                      <w:color w:val="auto"/>
                    </w:rPr>
                  </w:pPr>
                  <w:r>
                    <w:rPr>
                      <w:rFonts w:ascii="Times New Roman" w:hAnsi="Times New Roman" w:cs="Times New Roman"/>
                      <w:color w:val="auto"/>
                    </w:rPr>
                    <w:t>固废治理</w:t>
                  </w: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本项目不设置弃渣场，</w:t>
                  </w:r>
                  <w:r>
                    <w:rPr>
                      <w:rFonts w:hint="default" w:ascii="Times New Roman" w:hAnsi="Times New Roman" w:cs="Times New Roman"/>
                      <w:color w:val="auto"/>
                    </w:rPr>
                    <w:t>施工产生的</w:t>
                  </w:r>
                  <w:r>
                    <w:rPr>
                      <w:rFonts w:hint="default" w:ascii="Times New Roman" w:hAnsi="Times New Roman" w:cs="Times New Roman"/>
                      <w:color w:val="auto"/>
                      <w:lang w:val="en-US" w:eastAsia="zh-CN"/>
                    </w:rPr>
                    <w:t>余方</w:t>
                  </w:r>
                  <w:r>
                    <w:rPr>
                      <w:rFonts w:hint="default" w:ascii="Times New Roman" w:hAnsi="Times New Roman" w:cs="Times New Roman"/>
                      <w:color w:val="auto"/>
                    </w:rPr>
                    <w:t>用于</w:t>
                  </w:r>
                  <w:r>
                    <w:rPr>
                      <w:rFonts w:hint="default" w:ascii="Times New Roman" w:hAnsi="Times New Roman" w:cs="Times New Roman"/>
                      <w:color w:val="auto"/>
                      <w:lang w:val="en-US" w:eastAsia="zh-CN"/>
                    </w:rPr>
                    <w:t>部分堤防</w:t>
                  </w:r>
                  <w:r>
                    <w:rPr>
                      <w:rFonts w:hint="default" w:ascii="Times New Roman" w:hAnsi="Times New Roman" w:cs="Times New Roman"/>
                      <w:color w:val="auto"/>
                    </w:rPr>
                    <w:t>堤后</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堤后3m内</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低洼处</w:t>
                  </w:r>
                  <w:r>
                    <w:rPr>
                      <w:rFonts w:hint="default" w:ascii="Times New Roman" w:hAnsi="Times New Roman" w:cs="Times New Roman"/>
                      <w:color w:val="auto"/>
                    </w:rPr>
                    <w:t>回填</w:t>
                  </w:r>
                  <w:r>
                    <w:rPr>
                      <w:rFonts w:ascii="Times New Roman" w:hAnsi="Times New Roman" w:cs="Times New Roman"/>
                      <w:color w:val="auto"/>
                    </w:rPr>
                    <w:t>。</w:t>
                  </w:r>
                </w:p>
              </w:tc>
              <w:tc>
                <w:tcPr>
                  <w:tcW w:w="69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338" w:type="pct"/>
                  <w:vMerge w:val="continue"/>
                </w:tcPr>
                <w:p>
                  <w:pPr>
                    <w:pStyle w:val="234"/>
                    <w:adjustRightInd w:val="0"/>
                    <w:snapToGrid w:val="0"/>
                    <w:spacing w:before="48" w:beforeLines="20" w:after="48" w:afterLines="20"/>
                    <w:ind w:firstLine="420"/>
                    <w:rPr>
                      <w:rFonts w:ascii="Times New Roman" w:hAnsi="Times New Roman" w:cs="Times New Roman"/>
                      <w:color w:val="auto"/>
                    </w:rPr>
                  </w:pPr>
                </w:p>
              </w:tc>
              <w:tc>
                <w:tcPr>
                  <w:tcW w:w="495"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建筑垃圾：建筑垃圾分类收集，能回用的回用，不能回用的集中清运至政府指定的弃渣场</w:t>
                  </w:r>
                  <w:r>
                    <w:rPr>
                      <w:rFonts w:hint="eastAsia" w:ascii="Times New Roman" w:hAnsi="Times New Roman" w:cs="Times New Roman"/>
                      <w:color w:val="auto"/>
                    </w:rPr>
                    <w:t>处置</w:t>
                  </w:r>
                  <w:r>
                    <w:rPr>
                      <w:rFonts w:ascii="Times New Roman" w:hAnsi="Times New Roman" w:cs="Times New Roman"/>
                      <w:color w:val="auto"/>
                    </w:rPr>
                    <w:t>。</w:t>
                  </w:r>
                </w:p>
              </w:tc>
              <w:tc>
                <w:tcPr>
                  <w:tcW w:w="69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338" w:type="pct"/>
                  <w:vMerge w:val="continue"/>
                </w:tcPr>
                <w:p>
                  <w:pPr>
                    <w:pStyle w:val="234"/>
                    <w:adjustRightInd w:val="0"/>
                    <w:snapToGrid w:val="0"/>
                    <w:spacing w:before="48" w:beforeLines="20" w:after="48" w:afterLines="20"/>
                    <w:ind w:firstLine="420"/>
                    <w:rPr>
                      <w:rFonts w:ascii="Times New Roman" w:hAnsi="Times New Roman" w:cs="Times New Roman"/>
                      <w:color w:val="auto"/>
                    </w:rPr>
                  </w:pPr>
                </w:p>
              </w:tc>
              <w:tc>
                <w:tcPr>
                  <w:tcW w:w="495"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生活垃圾：在施工区设置垃圾桶，收集生活垃圾，并配备垃圾清运车，定期清运处理。</w:t>
                  </w:r>
                </w:p>
              </w:tc>
              <w:tc>
                <w:tcPr>
                  <w:tcW w:w="69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338" w:type="pct"/>
                  <w:vMerge w:val="continue"/>
                </w:tcPr>
                <w:p>
                  <w:pPr>
                    <w:pStyle w:val="234"/>
                    <w:adjustRightInd w:val="0"/>
                    <w:snapToGrid w:val="0"/>
                    <w:spacing w:before="48" w:beforeLines="20" w:after="48" w:afterLines="20"/>
                    <w:ind w:firstLine="420"/>
                    <w:rPr>
                      <w:rFonts w:ascii="Times New Roman" w:hAnsi="Times New Roman" w:cs="Times New Roman"/>
                      <w:color w:val="auto"/>
                    </w:rPr>
                  </w:pPr>
                </w:p>
              </w:tc>
              <w:tc>
                <w:tcPr>
                  <w:tcW w:w="495"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406"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c>
                <w:tcPr>
                  <w:tcW w:w="2621" w:type="pct"/>
                  <w:vAlign w:val="center"/>
                </w:tcPr>
                <w:p>
                  <w:pPr>
                    <w:pStyle w:val="234"/>
                    <w:adjustRightInd w:val="0"/>
                    <w:snapToGrid w:val="0"/>
                    <w:spacing w:before="48" w:beforeLines="20" w:after="48" w:afterLines="20"/>
                    <w:jc w:val="both"/>
                    <w:rPr>
                      <w:rFonts w:ascii="Times New Roman" w:hAnsi="Times New Roman" w:cs="Times New Roman"/>
                      <w:color w:val="auto"/>
                    </w:rPr>
                  </w:pPr>
                  <w:r>
                    <w:rPr>
                      <w:rFonts w:ascii="Times New Roman" w:hAnsi="Times New Roman" w:cs="Times New Roman"/>
                      <w:color w:val="auto"/>
                    </w:rPr>
                    <w:t>沉淀池泥沙：沉淀池泥沙定期清理，集中运输到</w:t>
                  </w:r>
                  <w:r>
                    <w:rPr>
                      <w:rFonts w:hint="eastAsia" w:ascii="Times New Roman" w:hAnsi="Times New Roman" w:cs="Times New Roman"/>
                      <w:color w:val="auto"/>
                    </w:rPr>
                    <w:t>政府</w:t>
                  </w:r>
                  <w:r>
                    <w:rPr>
                      <w:rFonts w:ascii="Times New Roman" w:hAnsi="Times New Roman" w:cs="Times New Roman"/>
                      <w:color w:val="auto"/>
                    </w:rPr>
                    <w:t>指定的位置</w:t>
                  </w:r>
                  <w:r>
                    <w:rPr>
                      <w:rFonts w:hint="eastAsia" w:ascii="Times New Roman" w:hAnsi="Times New Roman" w:cs="Times New Roman"/>
                      <w:color w:val="auto"/>
                    </w:rPr>
                    <w:t>处置</w:t>
                  </w:r>
                  <w:r>
                    <w:rPr>
                      <w:rFonts w:ascii="Times New Roman" w:hAnsi="Times New Roman" w:cs="Times New Roman"/>
                      <w:color w:val="auto"/>
                    </w:rPr>
                    <w:t>。</w:t>
                  </w:r>
                </w:p>
              </w:tc>
              <w:tc>
                <w:tcPr>
                  <w:tcW w:w="698" w:type="pct"/>
                  <w:vMerge w:val="continue"/>
                  <w:vAlign w:val="center"/>
                </w:tcPr>
                <w:p>
                  <w:pPr>
                    <w:pStyle w:val="234"/>
                    <w:adjustRightInd w:val="0"/>
                    <w:snapToGrid w:val="0"/>
                    <w:spacing w:before="48" w:beforeLines="20" w:after="48" w:afterLines="20"/>
                    <w:ind w:firstLine="420"/>
                    <w:rPr>
                      <w:rFonts w:ascii="Times New Roman" w:hAnsi="Times New Roman" w:cs="Times New Roman"/>
                      <w:color w:val="auto"/>
                    </w:rPr>
                  </w:pPr>
                </w:p>
              </w:tc>
              <w:tc>
                <w:tcPr>
                  <w:tcW w:w="338" w:type="pct"/>
                  <w:vMerge w:val="continue"/>
                </w:tcPr>
                <w:p>
                  <w:pPr>
                    <w:pStyle w:val="234"/>
                    <w:adjustRightInd w:val="0"/>
                    <w:snapToGrid w:val="0"/>
                    <w:spacing w:before="48" w:beforeLines="20" w:after="48" w:afterLines="20"/>
                    <w:ind w:firstLine="420"/>
                    <w:rPr>
                      <w:rFonts w:ascii="Times New Roman" w:hAnsi="Times New Roman" w:cs="Times New Roman"/>
                      <w:color w:val="auto"/>
                    </w:rPr>
                  </w:pPr>
                </w:p>
              </w:tc>
              <w:tc>
                <w:tcPr>
                  <w:tcW w:w="495" w:type="pct"/>
                  <w:vMerge w:val="continue"/>
                  <w:vAlign w:val="center"/>
                </w:tcPr>
                <w:p>
                  <w:pPr>
                    <w:pStyle w:val="234"/>
                    <w:adjustRightInd w:val="0"/>
                    <w:snapToGrid w:val="0"/>
                    <w:spacing w:before="48" w:beforeLines="20" w:after="48" w:afterLines="20"/>
                    <w:rPr>
                      <w:rFonts w:ascii="Times New Roman" w:hAnsi="Times New Roman" w:cs="Times New Roman"/>
                      <w:color w:val="auto"/>
                    </w:rPr>
                  </w:pPr>
                </w:p>
              </w:tc>
            </w:tr>
          </w:tbl>
          <w:p>
            <w:pPr>
              <w:adjustRightInd w:val="0"/>
              <w:snapToGrid w:val="0"/>
              <w:spacing w:line="360" w:lineRule="auto"/>
              <w:rPr>
                <w:b/>
                <w:bCs/>
                <w:color w:val="auto"/>
                <w:sz w:val="24"/>
              </w:rPr>
            </w:pPr>
            <w:bookmarkStart w:id="3" w:name="OLE_LINK121"/>
            <w:bookmarkStart w:id="4" w:name="OLE_LINK122"/>
            <w:r>
              <w:rPr>
                <w:b/>
                <w:bCs/>
                <w:color w:val="auto"/>
                <w:sz w:val="24"/>
              </w:rPr>
              <w:t>三、主要工程量</w:t>
            </w:r>
          </w:p>
          <w:p>
            <w:pPr>
              <w:adjustRightInd w:val="0"/>
              <w:snapToGrid w:val="0"/>
              <w:spacing w:line="360" w:lineRule="auto"/>
              <w:ind w:firstLine="480" w:firstLineChars="200"/>
              <w:jc w:val="left"/>
              <w:rPr>
                <w:color w:val="auto"/>
                <w:sz w:val="24"/>
              </w:rPr>
            </w:pPr>
            <w:r>
              <w:rPr>
                <w:rFonts w:hint="eastAsia"/>
                <w:color w:val="auto"/>
                <w:sz w:val="24"/>
                <w:lang w:val="en-US" w:eastAsia="zh-CN"/>
              </w:rPr>
              <w:t>根据项目初步设计报告，</w:t>
            </w:r>
            <w:r>
              <w:rPr>
                <w:color w:val="auto"/>
                <w:sz w:val="24"/>
              </w:rPr>
              <w:t>本项目施工期主要工程量如下表所示，直接外购商品混凝土进行河堤的建设，堤防填筑部分物料来源于堤底开挖砂石料，工程量未计入不予实施段。</w:t>
            </w:r>
          </w:p>
          <w:p>
            <w:pPr>
              <w:pStyle w:val="63"/>
              <w:numPr>
                <w:ilvl w:val="0"/>
                <w:numId w:val="6"/>
              </w:numPr>
              <w:adjustRightInd w:val="0"/>
              <w:snapToGrid w:val="0"/>
              <w:rPr>
                <w:b/>
                <w:color w:val="auto"/>
                <w:szCs w:val="21"/>
              </w:rPr>
            </w:pPr>
            <w:r>
              <w:rPr>
                <w:b/>
                <w:color w:val="auto"/>
                <w:szCs w:val="21"/>
              </w:rPr>
              <w:t>主要工程量一览表</w:t>
            </w:r>
          </w:p>
          <w:tbl>
            <w:tblPr>
              <w:tblStyle w:val="37"/>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6"/>
              <w:gridCol w:w="3194"/>
              <w:gridCol w:w="2115"/>
              <w:gridCol w:w="21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Merge w:val="restart"/>
                  <w:vAlign w:val="center"/>
                </w:tcPr>
                <w:p>
                  <w:pPr>
                    <w:adjustRightInd w:val="0"/>
                    <w:snapToGrid w:val="0"/>
                    <w:jc w:val="center"/>
                    <w:rPr>
                      <w:b/>
                      <w:bCs/>
                      <w:color w:val="auto"/>
                      <w:szCs w:val="21"/>
                    </w:rPr>
                  </w:pPr>
                  <w:r>
                    <w:rPr>
                      <w:b/>
                      <w:bCs/>
                      <w:color w:val="auto"/>
                      <w:szCs w:val="21"/>
                    </w:rPr>
                    <w:t>序号</w:t>
                  </w:r>
                </w:p>
              </w:tc>
              <w:tc>
                <w:tcPr>
                  <w:tcW w:w="1888" w:type="pct"/>
                  <w:vMerge w:val="restart"/>
                  <w:vAlign w:val="center"/>
                </w:tcPr>
                <w:p>
                  <w:pPr>
                    <w:adjustRightInd w:val="0"/>
                    <w:snapToGrid w:val="0"/>
                    <w:jc w:val="center"/>
                    <w:rPr>
                      <w:b/>
                      <w:bCs/>
                      <w:color w:val="auto"/>
                      <w:szCs w:val="21"/>
                    </w:rPr>
                  </w:pPr>
                  <w:r>
                    <w:rPr>
                      <w:b/>
                      <w:bCs/>
                      <w:color w:val="auto"/>
                      <w:szCs w:val="21"/>
                    </w:rPr>
                    <w:t>项目名称</w:t>
                  </w:r>
                </w:p>
              </w:tc>
              <w:tc>
                <w:tcPr>
                  <w:tcW w:w="1250" w:type="pct"/>
                  <w:vAlign w:val="center"/>
                </w:tcPr>
                <w:p>
                  <w:pPr>
                    <w:adjustRightInd w:val="0"/>
                    <w:snapToGrid w:val="0"/>
                    <w:jc w:val="center"/>
                    <w:rPr>
                      <w:b/>
                      <w:bCs/>
                      <w:color w:val="auto"/>
                      <w:szCs w:val="21"/>
                    </w:rPr>
                  </w:pPr>
                  <w:r>
                    <w:rPr>
                      <w:b/>
                      <w:bCs/>
                      <w:color w:val="auto"/>
                      <w:szCs w:val="21"/>
                    </w:rPr>
                    <w:t>估算指标</w:t>
                  </w:r>
                </w:p>
              </w:tc>
              <w:tc>
                <w:tcPr>
                  <w:tcW w:w="1253" w:type="pct"/>
                  <w:vMerge w:val="restart"/>
                  <w:vAlign w:val="center"/>
                </w:tcPr>
                <w:p>
                  <w:pPr>
                    <w:adjustRightInd w:val="0"/>
                    <w:snapToGrid w:val="0"/>
                    <w:jc w:val="center"/>
                    <w:rPr>
                      <w:color w:val="auto"/>
                      <w:szCs w:val="21"/>
                    </w:rPr>
                  </w:pPr>
                  <w:r>
                    <w:rPr>
                      <w:b/>
                      <w:bCs/>
                      <w:color w:val="auto"/>
                      <w:szCs w:val="21"/>
                    </w:rPr>
                    <w:t>工程量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Merge w:val="continue"/>
                  <w:vAlign w:val="center"/>
                </w:tcPr>
                <w:p>
                  <w:pPr>
                    <w:adjustRightInd w:val="0"/>
                    <w:snapToGrid w:val="0"/>
                    <w:jc w:val="center"/>
                    <w:rPr>
                      <w:b/>
                      <w:bCs/>
                      <w:color w:val="auto"/>
                      <w:szCs w:val="21"/>
                    </w:rPr>
                  </w:pPr>
                </w:p>
              </w:tc>
              <w:tc>
                <w:tcPr>
                  <w:tcW w:w="1888" w:type="pct"/>
                  <w:vMerge w:val="continue"/>
                  <w:vAlign w:val="center"/>
                </w:tcPr>
                <w:p>
                  <w:pPr>
                    <w:adjustRightInd w:val="0"/>
                    <w:snapToGrid w:val="0"/>
                    <w:jc w:val="center"/>
                    <w:rPr>
                      <w:b/>
                      <w:bCs/>
                      <w:color w:val="auto"/>
                      <w:szCs w:val="21"/>
                    </w:rPr>
                  </w:pPr>
                </w:p>
              </w:tc>
              <w:tc>
                <w:tcPr>
                  <w:tcW w:w="1250" w:type="pct"/>
                  <w:vAlign w:val="center"/>
                </w:tcPr>
                <w:p>
                  <w:pPr>
                    <w:adjustRightInd w:val="0"/>
                    <w:snapToGrid w:val="0"/>
                    <w:jc w:val="center"/>
                    <w:rPr>
                      <w:b/>
                      <w:bCs/>
                      <w:color w:val="auto"/>
                      <w:szCs w:val="21"/>
                    </w:rPr>
                  </w:pPr>
                  <w:r>
                    <w:rPr>
                      <w:b/>
                      <w:bCs/>
                      <w:color w:val="auto"/>
                      <w:szCs w:val="21"/>
                    </w:rPr>
                    <w:t>单位</w:t>
                  </w:r>
                </w:p>
              </w:tc>
              <w:tc>
                <w:tcPr>
                  <w:tcW w:w="1253" w:type="pct"/>
                  <w:vMerge w:val="continue"/>
                </w:tcPr>
                <w:p>
                  <w:pPr>
                    <w:adjustRightInd w:val="0"/>
                    <w:snapToGrid w:val="0"/>
                    <w:jc w:val="left"/>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pPr>
                    <w:adjustRightInd w:val="0"/>
                    <w:snapToGrid w:val="0"/>
                    <w:jc w:val="left"/>
                    <w:rPr>
                      <w:color w:val="auto"/>
                      <w:szCs w:val="21"/>
                    </w:rPr>
                  </w:pPr>
                  <w:r>
                    <w:rPr>
                      <w:b/>
                      <w:bCs/>
                      <w:color w:val="auto"/>
                      <w:szCs w:val="21"/>
                    </w:rPr>
                    <w:t>堤防工程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w:t>
                  </w:r>
                </w:p>
              </w:tc>
              <w:tc>
                <w:tcPr>
                  <w:tcW w:w="1888" w:type="pct"/>
                  <w:vAlign w:val="center"/>
                </w:tcPr>
                <w:p>
                  <w:pPr>
                    <w:pStyle w:val="54"/>
                    <w:spacing w:before="24" w:after="24" w:line="240" w:lineRule="auto"/>
                    <w:rPr>
                      <w:color w:val="auto"/>
                    </w:rPr>
                  </w:pPr>
                  <w:r>
                    <w:rPr>
                      <w:color w:val="auto"/>
                    </w:rPr>
                    <w:t>砂卵石开挖</w:t>
                  </w:r>
                </w:p>
              </w:tc>
              <w:tc>
                <w:tcPr>
                  <w:tcW w:w="1250" w:type="pct"/>
                  <w:vAlign w:val="center"/>
                </w:tcPr>
                <w:p>
                  <w:pPr>
                    <w:pStyle w:val="54"/>
                    <w:spacing w:before="24" w:after="24" w:line="240" w:lineRule="auto"/>
                    <w:rPr>
                      <w:color w:val="auto"/>
                    </w:rPr>
                  </w:pPr>
                  <w:r>
                    <w:rPr>
                      <w:rFonts w:hint="eastAsia"/>
                      <w:color w:val="auto"/>
                      <w:lang w:val="en-US" w:eastAsia="zh-CN"/>
                    </w:rPr>
                    <w:t>万</w:t>
                  </w:r>
                  <w:r>
                    <w:rPr>
                      <w:color w:val="auto"/>
                    </w:rPr>
                    <w:t>m</w:t>
                  </w:r>
                  <w:r>
                    <w:rPr>
                      <w:color w:val="auto"/>
                      <w:vertAlign w:val="superscript"/>
                    </w:rPr>
                    <w:t>3</w:t>
                  </w:r>
                </w:p>
              </w:tc>
              <w:tc>
                <w:tcPr>
                  <w:tcW w:w="1253" w:type="pct"/>
                  <w:vAlign w:val="center"/>
                </w:tcPr>
                <w:p>
                  <w:pPr>
                    <w:pStyle w:val="54"/>
                    <w:spacing w:before="24" w:after="24" w:line="240" w:lineRule="auto"/>
                    <w:rPr>
                      <w:rFonts w:hint="default" w:eastAsia="宋体"/>
                      <w:color w:val="auto"/>
                      <w:lang w:val="en-US" w:eastAsia="zh-CN"/>
                    </w:rPr>
                  </w:pPr>
                  <w:r>
                    <w:rPr>
                      <w:rFonts w:hint="eastAsia"/>
                      <w:color w:val="auto"/>
                      <w:lang w:val="en-US" w:eastAsia="zh-CN"/>
                    </w:rPr>
                    <w:t>12.68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w:t>
                  </w:r>
                </w:p>
              </w:tc>
              <w:tc>
                <w:tcPr>
                  <w:tcW w:w="1888" w:type="pct"/>
                  <w:vAlign w:val="center"/>
                </w:tcPr>
                <w:p>
                  <w:pPr>
                    <w:pStyle w:val="54"/>
                    <w:spacing w:before="24" w:after="24" w:line="240" w:lineRule="auto"/>
                    <w:rPr>
                      <w:color w:val="auto"/>
                    </w:rPr>
                  </w:pPr>
                  <w:r>
                    <w:rPr>
                      <w:color w:val="auto"/>
                    </w:rPr>
                    <w:t>土方开挖</w:t>
                  </w:r>
                </w:p>
              </w:tc>
              <w:tc>
                <w:tcPr>
                  <w:tcW w:w="1250" w:type="pct"/>
                  <w:vAlign w:val="center"/>
                </w:tcPr>
                <w:p>
                  <w:pPr>
                    <w:pStyle w:val="54"/>
                    <w:spacing w:before="24" w:after="24" w:line="240" w:lineRule="auto"/>
                    <w:rPr>
                      <w:color w:val="auto"/>
                    </w:rPr>
                  </w:pPr>
                  <w:r>
                    <w:rPr>
                      <w:rFonts w:hint="eastAsia"/>
                      <w:color w:val="auto"/>
                      <w:lang w:val="en-US" w:eastAsia="zh-CN"/>
                    </w:rPr>
                    <w:t>万</w:t>
                  </w:r>
                  <w:r>
                    <w:rPr>
                      <w:color w:val="auto"/>
                    </w:rPr>
                    <w:t>m</w:t>
                  </w:r>
                  <w:r>
                    <w:rPr>
                      <w:color w:val="auto"/>
                      <w:vertAlign w:val="superscript"/>
                    </w:rPr>
                    <w:t>3</w:t>
                  </w:r>
                </w:p>
              </w:tc>
              <w:tc>
                <w:tcPr>
                  <w:tcW w:w="1253" w:type="pct"/>
                  <w:vAlign w:val="center"/>
                </w:tcPr>
                <w:p>
                  <w:pPr>
                    <w:pStyle w:val="54"/>
                    <w:spacing w:before="24" w:after="24" w:line="240" w:lineRule="auto"/>
                    <w:rPr>
                      <w:rFonts w:hint="default" w:eastAsia="宋体"/>
                      <w:color w:val="auto"/>
                      <w:lang w:val="en-US" w:eastAsia="zh-CN"/>
                    </w:rPr>
                  </w:pPr>
                  <w:r>
                    <w:rPr>
                      <w:rFonts w:hint="eastAsia"/>
                      <w:color w:val="auto"/>
                      <w:lang w:val="en-US" w:eastAsia="zh-CN"/>
                    </w:rPr>
                    <w:t>4.33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w:t>
                  </w:r>
                </w:p>
              </w:tc>
              <w:tc>
                <w:tcPr>
                  <w:tcW w:w="1888" w:type="pct"/>
                  <w:vAlign w:val="center"/>
                </w:tcPr>
                <w:p>
                  <w:pPr>
                    <w:pStyle w:val="54"/>
                    <w:spacing w:before="24" w:after="24" w:line="240" w:lineRule="auto"/>
                    <w:rPr>
                      <w:color w:val="auto"/>
                    </w:rPr>
                  </w:pPr>
                  <w:r>
                    <w:rPr>
                      <w:color w:val="auto"/>
                    </w:rPr>
                    <w:t>基础砂卵石填筑（利用开挖料</w:t>
                  </w:r>
                  <w:r>
                    <w:rPr>
                      <w:rFonts w:hint="eastAsia"/>
                      <w:color w:val="auto"/>
                      <w:lang w:eastAsia="zh-CN"/>
                    </w:rPr>
                    <w:t>、</w:t>
                  </w:r>
                  <w:r>
                    <w:rPr>
                      <w:rFonts w:hint="eastAsia"/>
                      <w:color w:val="auto"/>
                      <w:lang w:val="en-US" w:eastAsia="zh-CN"/>
                    </w:rPr>
                    <w:t>疏浚工程开挖料</w:t>
                  </w:r>
                  <w:r>
                    <w:rPr>
                      <w:color w:val="auto"/>
                    </w:rPr>
                    <w:t>）</w:t>
                  </w:r>
                </w:p>
              </w:tc>
              <w:tc>
                <w:tcPr>
                  <w:tcW w:w="1250" w:type="pct"/>
                  <w:vAlign w:val="center"/>
                </w:tcPr>
                <w:p>
                  <w:pPr>
                    <w:pStyle w:val="54"/>
                    <w:spacing w:before="24" w:after="24" w:line="240" w:lineRule="auto"/>
                    <w:rPr>
                      <w:color w:val="auto"/>
                    </w:rPr>
                  </w:pPr>
                  <w:r>
                    <w:rPr>
                      <w:rFonts w:hint="eastAsia"/>
                      <w:color w:val="auto"/>
                      <w:lang w:val="en-US" w:eastAsia="zh-CN"/>
                    </w:rPr>
                    <w:t>万</w:t>
                  </w:r>
                  <w:r>
                    <w:rPr>
                      <w:color w:val="auto"/>
                    </w:rPr>
                    <w:t>m</w:t>
                  </w:r>
                  <w:r>
                    <w:rPr>
                      <w:color w:val="auto"/>
                      <w:vertAlign w:val="superscript"/>
                    </w:rPr>
                    <w:t>2</w:t>
                  </w:r>
                </w:p>
              </w:tc>
              <w:tc>
                <w:tcPr>
                  <w:tcW w:w="1253" w:type="pct"/>
                  <w:vAlign w:val="center"/>
                </w:tcPr>
                <w:p>
                  <w:pPr>
                    <w:pStyle w:val="54"/>
                    <w:spacing w:before="24" w:after="24" w:line="240" w:lineRule="auto"/>
                    <w:rPr>
                      <w:rFonts w:hint="default" w:eastAsia="宋体"/>
                      <w:color w:val="auto"/>
                      <w:lang w:val="en-US" w:eastAsia="zh-CN"/>
                    </w:rPr>
                  </w:pPr>
                  <w:r>
                    <w:rPr>
                      <w:rFonts w:hint="eastAsia"/>
                      <w:color w:val="auto"/>
                      <w:lang w:val="en-US" w:eastAsia="zh-CN"/>
                    </w:rPr>
                    <w:t>30.72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4</w:t>
                  </w:r>
                </w:p>
              </w:tc>
              <w:tc>
                <w:tcPr>
                  <w:tcW w:w="1888" w:type="pct"/>
                  <w:vAlign w:val="center"/>
                </w:tcPr>
                <w:p>
                  <w:pPr>
                    <w:pStyle w:val="54"/>
                    <w:spacing w:before="24" w:after="24" w:line="240" w:lineRule="auto"/>
                    <w:rPr>
                      <w:color w:val="auto"/>
                    </w:rPr>
                  </w:pPr>
                  <w:r>
                    <w:rPr>
                      <w:rFonts w:hint="eastAsia"/>
                      <w:color w:val="auto"/>
                      <w:lang w:val="en-US" w:eastAsia="zh-CN"/>
                    </w:rPr>
                    <w:t>土方</w:t>
                  </w:r>
                  <w:r>
                    <w:rPr>
                      <w:color w:val="auto"/>
                    </w:rPr>
                    <w:t>回填</w:t>
                  </w:r>
                </w:p>
              </w:tc>
              <w:tc>
                <w:tcPr>
                  <w:tcW w:w="1250" w:type="pct"/>
                  <w:vAlign w:val="center"/>
                </w:tcPr>
                <w:p>
                  <w:pPr>
                    <w:pStyle w:val="54"/>
                    <w:spacing w:before="24" w:after="24" w:line="240" w:lineRule="auto"/>
                    <w:rPr>
                      <w:color w:val="auto"/>
                    </w:rPr>
                  </w:pPr>
                  <w:r>
                    <w:rPr>
                      <w:rFonts w:hint="eastAsia"/>
                      <w:color w:val="auto"/>
                      <w:lang w:val="en-US" w:eastAsia="zh-CN"/>
                    </w:rPr>
                    <w:t>万</w:t>
                  </w:r>
                  <w:r>
                    <w:rPr>
                      <w:color w:val="auto"/>
                    </w:rPr>
                    <w:t>m</w:t>
                  </w:r>
                  <w:r>
                    <w:rPr>
                      <w:color w:val="auto"/>
                      <w:vertAlign w:val="superscript"/>
                    </w:rPr>
                    <w:t>3</w:t>
                  </w:r>
                </w:p>
              </w:tc>
              <w:tc>
                <w:tcPr>
                  <w:tcW w:w="1253" w:type="pct"/>
                  <w:vAlign w:val="center"/>
                </w:tcPr>
                <w:p>
                  <w:pPr>
                    <w:pStyle w:val="54"/>
                    <w:spacing w:before="24" w:after="24" w:line="240" w:lineRule="auto"/>
                    <w:rPr>
                      <w:rFonts w:hint="default" w:eastAsia="宋体"/>
                      <w:color w:val="auto"/>
                      <w:lang w:val="en-US" w:eastAsia="zh-CN"/>
                    </w:rPr>
                  </w:pPr>
                  <w:r>
                    <w:rPr>
                      <w:rFonts w:hint="eastAsia"/>
                      <w:color w:val="auto"/>
                      <w:lang w:val="en-US" w:eastAsia="zh-CN"/>
                    </w:rPr>
                    <w:t>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5</w:t>
                  </w:r>
                </w:p>
              </w:tc>
              <w:tc>
                <w:tcPr>
                  <w:tcW w:w="1888" w:type="pct"/>
                  <w:vAlign w:val="center"/>
                </w:tcPr>
                <w:p>
                  <w:pPr>
                    <w:pStyle w:val="54"/>
                    <w:spacing w:before="24" w:after="24" w:line="240" w:lineRule="auto"/>
                    <w:rPr>
                      <w:color w:val="auto"/>
                    </w:rPr>
                  </w:pPr>
                  <w:r>
                    <w:rPr>
                      <w:color w:val="auto"/>
                    </w:rPr>
                    <w:t>堤顶C20砼路面</w:t>
                  </w:r>
                </w:p>
              </w:tc>
              <w:tc>
                <w:tcPr>
                  <w:tcW w:w="1250" w:type="pct"/>
                  <w:vAlign w:val="center"/>
                </w:tcPr>
                <w:p>
                  <w:pPr>
                    <w:pStyle w:val="54"/>
                    <w:spacing w:before="24" w:after="24" w:line="240" w:lineRule="auto"/>
                    <w:rPr>
                      <w:color w:val="auto"/>
                    </w:rPr>
                  </w:pPr>
                  <w:r>
                    <w:rPr>
                      <w:color w:val="auto"/>
                    </w:rPr>
                    <w:t>m</w:t>
                  </w:r>
                  <w:r>
                    <w:rPr>
                      <w:color w:val="auto"/>
                      <w:vertAlign w:val="superscript"/>
                    </w:rPr>
                    <w:t>2</w:t>
                  </w:r>
                </w:p>
              </w:tc>
              <w:tc>
                <w:tcPr>
                  <w:tcW w:w="1253" w:type="pct"/>
                  <w:vAlign w:val="center"/>
                </w:tcPr>
                <w:p>
                  <w:pPr>
                    <w:pStyle w:val="54"/>
                    <w:spacing w:before="24" w:after="24" w:line="240" w:lineRule="auto"/>
                    <w:rPr>
                      <w:color w:val="auto"/>
                    </w:rPr>
                  </w:pPr>
                  <w:r>
                    <w:rPr>
                      <w:color w:val="auto"/>
                    </w:rPr>
                    <w:t>1696.83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6</w:t>
                  </w:r>
                </w:p>
              </w:tc>
              <w:tc>
                <w:tcPr>
                  <w:tcW w:w="1888" w:type="pct"/>
                  <w:vAlign w:val="center"/>
                </w:tcPr>
                <w:p>
                  <w:pPr>
                    <w:pStyle w:val="54"/>
                    <w:spacing w:before="24" w:after="24" w:line="240" w:lineRule="auto"/>
                    <w:rPr>
                      <w:color w:val="auto"/>
                    </w:rPr>
                  </w:pPr>
                  <w:r>
                    <w:rPr>
                      <w:color w:val="auto"/>
                    </w:rPr>
                    <w:t>C20砼马道</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950.27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7</w:t>
                  </w:r>
                </w:p>
              </w:tc>
              <w:tc>
                <w:tcPr>
                  <w:tcW w:w="1888" w:type="pct"/>
                  <w:vAlign w:val="center"/>
                </w:tcPr>
                <w:p>
                  <w:pPr>
                    <w:pStyle w:val="54"/>
                    <w:spacing w:before="24" w:after="24" w:line="240" w:lineRule="auto"/>
                    <w:rPr>
                      <w:color w:val="auto"/>
                    </w:rPr>
                  </w:pPr>
                  <w:r>
                    <w:rPr>
                      <w:color w:val="auto"/>
                    </w:rPr>
                    <w:t>C20砼路肩石</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1429.53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8</w:t>
                  </w:r>
                </w:p>
              </w:tc>
              <w:tc>
                <w:tcPr>
                  <w:tcW w:w="1888" w:type="pct"/>
                  <w:vAlign w:val="center"/>
                </w:tcPr>
                <w:p>
                  <w:pPr>
                    <w:pStyle w:val="54"/>
                    <w:spacing w:before="24" w:after="24" w:line="240" w:lineRule="auto"/>
                    <w:rPr>
                      <w:color w:val="auto"/>
                    </w:rPr>
                  </w:pPr>
                  <w:r>
                    <w:rPr>
                      <w:color w:val="auto"/>
                    </w:rPr>
                    <w:t>C20砼排水沟</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509.08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9</w:t>
                  </w:r>
                </w:p>
              </w:tc>
              <w:tc>
                <w:tcPr>
                  <w:tcW w:w="1888" w:type="pct"/>
                  <w:vAlign w:val="center"/>
                </w:tcPr>
                <w:p>
                  <w:pPr>
                    <w:pStyle w:val="54"/>
                    <w:spacing w:before="24" w:after="24" w:line="240" w:lineRule="auto"/>
                    <w:rPr>
                      <w:color w:val="auto"/>
                    </w:rPr>
                  </w:pPr>
                  <w:r>
                    <w:rPr>
                      <w:color w:val="auto"/>
                    </w:rPr>
                    <w:t>警示桩（DN90PVC管）</w:t>
                  </w:r>
                </w:p>
              </w:tc>
              <w:tc>
                <w:tcPr>
                  <w:tcW w:w="1250" w:type="pct"/>
                  <w:vAlign w:val="center"/>
                </w:tcPr>
                <w:p>
                  <w:pPr>
                    <w:pStyle w:val="54"/>
                    <w:spacing w:before="24" w:after="24" w:line="240" w:lineRule="auto"/>
                    <w:rPr>
                      <w:color w:val="auto"/>
                    </w:rPr>
                  </w:pPr>
                  <w:r>
                    <w:rPr>
                      <w:color w:val="auto"/>
                    </w:rPr>
                    <w:t>m</w:t>
                  </w:r>
                </w:p>
              </w:tc>
              <w:tc>
                <w:tcPr>
                  <w:tcW w:w="1253" w:type="pct"/>
                  <w:vAlign w:val="center"/>
                </w:tcPr>
                <w:p>
                  <w:pPr>
                    <w:pStyle w:val="54"/>
                    <w:spacing w:before="24" w:after="24" w:line="240" w:lineRule="auto"/>
                    <w:rPr>
                      <w:color w:val="auto"/>
                    </w:rPr>
                  </w:pPr>
                  <w:r>
                    <w:rPr>
                      <w:color w:val="auto"/>
                    </w:rPr>
                    <w:t>1187.5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10</w:t>
                  </w:r>
                </w:p>
              </w:tc>
              <w:tc>
                <w:tcPr>
                  <w:tcW w:w="1888" w:type="pct"/>
                  <w:vAlign w:val="center"/>
                </w:tcPr>
                <w:p>
                  <w:pPr>
                    <w:pStyle w:val="54"/>
                    <w:spacing w:before="24" w:after="24" w:line="240" w:lineRule="auto"/>
                    <w:rPr>
                      <w:color w:val="auto"/>
                    </w:rPr>
                  </w:pPr>
                  <w:r>
                    <w:rPr>
                      <w:color w:val="auto"/>
                    </w:rPr>
                    <w:t>堤顶人行栏杆（1.2m高）</w:t>
                  </w:r>
                </w:p>
              </w:tc>
              <w:tc>
                <w:tcPr>
                  <w:tcW w:w="1250" w:type="pct"/>
                  <w:vAlign w:val="center"/>
                </w:tcPr>
                <w:p>
                  <w:pPr>
                    <w:pStyle w:val="54"/>
                    <w:spacing w:before="24" w:after="24" w:line="240" w:lineRule="auto"/>
                    <w:rPr>
                      <w:color w:val="auto"/>
                    </w:rPr>
                  </w:pPr>
                  <w:r>
                    <w:rPr>
                      <w:color w:val="auto"/>
                    </w:rPr>
                    <w:t>m</w:t>
                  </w:r>
                </w:p>
              </w:tc>
              <w:tc>
                <w:tcPr>
                  <w:tcW w:w="1253" w:type="pct"/>
                  <w:vAlign w:val="center"/>
                </w:tcPr>
                <w:p>
                  <w:pPr>
                    <w:pStyle w:val="54"/>
                    <w:spacing w:before="24" w:after="24" w:line="240" w:lineRule="auto"/>
                    <w:rPr>
                      <w:color w:val="auto"/>
                    </w:rPr>
                  </w:pPr>
                  <w:r>
                    <w:rPr>
                      <w:color w:val="auto"/>
                    </w:rPr>
                    <w:t>3393.67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11</w:t>
                  </w:r>
                </w:p>
              </w:tc>
              <w:tc>
                <w:tcPr>
                  <w:tcW w:w="1888" w:type="pct"/>
                  <w:vAlign w:val="center"/>
                </w:tcPr>
                <w:p>
                  <w:pPr>
                    <w:pStyle w:val="54"/>
                    <w:spacing w:before="24" w:after="24" w:line="240" w:lineRule="auto"/>
                    <w:rPr>
                      <w:color w:val="auto"/>
                    </w:rPr>
                  </w:pPr>
                  <w:r>
                    <w:rPr>
                      <w:color w:val="auto"/>
                    </w:rPr>
                    <w:t>C20砼齿墙</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2633.5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12</w:t>
                  </w:r>
                </w:p>
              </w:tc>
              <w:tc>
                <w:tcPr>
                  <w:tcW w:w="1888" w:type="pct"/>
                  <w:vAlign w:val="center"/>
                </w:tcPr>
                <w:p>
                  <w:pPr>
                    <w:pStyle w:val="54"/>
                    <w:spacing w:before="24" w:after="24" w:line="240" w:lineRule="auto"/>
                    <w:rPr>
                      <w:color w:val="auto"/>
                    </w:rPr>
                  </w:pPr>
                  <w:r>
                    <w:rPr>
                      <w:color w:val="auto"/>
                    </w:rPr>
                    <w:t>C20砼面板</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10535.87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07" w:type="pct"/>
                  <w:vAlign w:val="center"/>
                </w:tcPr>
                <w:p>
                  <w:pPr>
                    <w:pStyle w:val="54"/>
                    <w:spacing w:before="24" w:after="24" w:line="240" w:lineRule="auto"/>
                    <w:rPr>
                      <w:color w:val="auto"/>
                    </w:rPr>
                  </w:pPr>
                  <w:r>
                    <w:rPr>
                      <w:color w:val="auto"/>
                    </w:rPr>
                    <w:t>13</w:t>
                  </w:r>
                </w:p>
              </w:tc>
              <w:tc>
                <w:tcPr>
                  <w:tcW w:w="1888" w:type="pct"/>
                  <w:vAlign w:val="center"/>
                </w:tcPr>
                <w:p>
                  <w:pPr>
                    <w:pStyle w:val="54"/>
                    <w:spacing w:before="24" w:after="24" w:line="240" w:lineRule="auto"/>
                    <w:rPr>
                      <w:color w:val="auto"/>
                    </w:rPr>
                  </w:pPr>
                  <w:r>
                    <w:rPr>
                      <w:color w:val="auto"/>
                    </w:rPr>
                    <w:t>M7.5砂浆垫层（5cm）</w:t>
                  </w:r>
                </w:p>
              </w:tc>
              <w:tc>
                <w:tcPr>
                  <w:tcW w:w="1250" w:type="pct"/>
                  <w:vAlign w:val="center"/>
                </w:tcPr>
                <w:p>
                  <w:pPr>
                    <w:pStyle w:val="54"/>
                    <w:spacing w:before="24" w:after="24" w:line="240" w:lineRule="auto"/>
                    <w:rPr>
                      <w:color w:val="auto"/>
                    </w:rPr>
                  </w:pPr>
                  <w:r>
                    <w:rPr>
                      <w:color w:val="auto"/>
                    </w:rPr>
                    <w:t>m</w:t>
                  </w:r>
                  <w:r>
                    <w:rPr>
                      <w:color w:val="auto"/>
                      <w:vertAlign w:val="superscript"/>
                    </w:rPr>
                    <w:t>2</w:t>
                  </w:r>
                </w:p>
              </w:tc>
              <w:tc>
                <w:tcPr>
                  <w:tcW w:w="1253" w:type="pct"/>
                  <w:vAlign w:val="center"/>
                </w:tcPr>
                <w:p>
                  <w:pPr>
                    <w:pStyle w:val="54"/>
                    <w:spacing w:before="24" w:after="24" w:line="240" w:lineRule="auto"/>
                    <w:rPr>
                      <w:color w:val="auto"/>
                    </w:rPr>
                  </w:pPr>
                  <w:r>
                    <w:rPr>
                      <w:color w:val="auto"/>
                    </w:rPr>
                    <w:t>52679.35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14</w:t>
                  </w:r>
                </w:p>
              </w:tc>
              <w:tc>
                <w:tcPr>
                  <w:tcW w:w="1888" w:type="pct"/>
                  <w:vAlign w:val="center"/>
                </w:tcPr>
                <w:p>
                  <w:pPr>
                    <w:pStyle w:val="54"/>
                    <w:spacing w:before="24" w:after="24" w:line="240" w:lineRule="auto"/>
                    <w:rPr>
                      <w:color w:val="auto"/>
                    </w:rPr>
                  </w:pPr>
                  <w:r>
                    <w:rPr>
                      <w:color w:val="auto"/>
                    </w:rPr>
                    <w:t>C20砼框格梁</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519.31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15</w:t>
                  </w:r>
                </w:p>
              </w:tc>
              <w:tc>
                <w:tcPr>
                  <w:tcW w:w="1888" w:type="pct"/>
                  <w:vAlign w:val="center"/>
                </w:tcPr>
                <w:p>
                  <w:pPr>
                    <w:pStyle w:val="54"/>
                    <w:spacing w:before="24" w:after="24" w:line="240" w:lineRule="auto"/>
                    <w:rPr>
                      <w:color w:val="auto"/>
                    </w:rPr>
                  </w:pPr>
                  <w:r>
                    <w:rPr>
                      <w:color w:val="auto"/>
                    </w:rPr>
                    <w:t>钢筋</w:t>
                  </w:r>
                </w:p>
              </w:tc>
              <w:tc>
                <w:tcPr>
                  <w:tcW w:w="1250" w:type="pct"/>
                  <w:vAlign w:val="center"/>
                </w:tcPr>
                <w:p>
                  <w:pPr>
                    <w:pStyle w:val="54"/>
                    <w:spacing w:before="24" w:after="24" w:line="240" w:lineRule="auto"/>
                    <w:rPr>
                      <w:color w:val="auto"/>
                    </w:rPr>
                  </w:pPr>
                  <w:r>
                    <w:rPr>
                      <w:color w:val="auto"/>
                    </w:rPr>
                    <w:t>t</w:t>
                  </w:r>
                </w:p>
              </w:tc>
              <w:tc>
                <w:tcPr>
                  <w:tcW w:w="1253" w:type="pct"/>
                  <w:vAlign w:val="center"/>
                </w:tcPr>
                <w:p>
                  <w:pPr>
                    <w:pStyle w:val="54"/>
                    <w:spacing w:before="24" w:after="24" w:line="240" w:lineRule="auto"/>
                    <w:rPr>
                      <w:color w:val="auto"/>
                    </w:rPr>
                  </w:pPr>
                  <w:r>
                    <w:rPr>
                      <w:color w:val="auto"/>
                    </w:rPr>
                    <w:t>73.45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16</w:t>
                  </w:r>
                </w:p>
              </w:tc>
              <w:tc>
                <w:tcPr>
                  <w:tcW w:w="1888" w:type="pct"/>
                  <w:vAlign w:val="center"/>
                </w:tcPr>
                <w:p>
                  <w:pPr>
                    <w:pStyle w:val="54"/>
                    <w:spacing w:before="24" w:after="24" w:line="240" w:lineRule="auto"/>
                    <w:rPr>
                      <w:color w:val="auto"/>
                    </w:rPr>
                  </w:pPr>
                  <w:r>
                    <w:rPr>
                      <w:color w:val="auto"/>
                    </w:rPr>
                    <w:t>草种</w:t>
                  </w:r>
                </w:p>
              </w:tc>
              <w:tc>
                <w:tcPr>
                  <w:tcW w:w="1250" w:type="pct"/>
                  <w:vAlign w:val="center"/>
                </w:tcPr>
                <w:p>
                  <w:pPr>
                    <w:pStyle w:val="54"/>
                    <w:spacing w:before="24" w:after="24" w:line="240" w:lineRule="auto"/>
                    <w:rPr>
                      <w:color w:val="auto"/>
                    </w:rPr>
                  </w:pPr>
                  <w:r>
                    <w:rPr>
                      <w:color w:val="auto"/>
                    </w:rPr>
                    <w:t>m</w:t>
                  </w:r>
                  <w:r>
                    <w:rPr>
                      <w:color w:val="auto"/>
                      <w:vertAlign w:val="superscript"/>
                    </w:rPr>
                    <w:t>2</w:t>
                  </w:r>
                </w:p>
              </w:tc>
              <w:tc>
                <w:tcPr>
                  <w:tcW w:w="1253" w:type="pct"/>
                  <w:vAlign w:val="center"/>
                </w:tcPr>
                <w:p>
                  <w:pPr>
                    <w:pStyle w:val="54"/>
                    <w:spacing w:before="24" w:after="24" w:line="240" w:lineRule="auto"/>
                    <w:rPr>
                      <w:color w:val="auto"/>
                    </w:rPr>
                  </w:pPr>
                  <w:r>
                    <w:rPr>
                      <w:color w:val="auto"/>
                    </w:rPr>
                    <w:t>50439.1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17</w:t>
                  </w:r>
                </w:p>
              </w:tc>
              <w:tc>
                <w:tcPr>
                  <w:tcW w:w="1888" w:type="pct"/>
                  <w:vAlign w:val="center"/>
                </w:tcPr>
                <w:p>
                  <w:pPr>
                    <w:pStyle w:val="54"/>
                    <w:spacing w:before="24" w:after="24" w:line="240" w:lineRule="auto"/>
                    <w:rPr>
                      <w:color w:val="auto"/>
                    </w:rPr>
                  </w:pPr>
                  <w:r>
                    <w:rPr>
                      <w:color w:val="auto"/>
                    </w:rPr>
                    <w:t>C20砼挡墙</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857.27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18</w:t>
                  </w:r>
                </w:p>
              </w:tc>
              <w:tc>
                <w:tcPr>
                  <w:tcW w:w="1888" w:type="pct"/>
                  <w:vAlign w:val="center"/>
                </w:tcPr>
                <w:p>
                  <w:pPr>
                    <w:pStyle w:val="54"/>
                    <w:spacing w:before="24" w:after="24" w:line="240" w:lineRule="auto"/>
                    <w:rPr>
                      <w:color w:val="auto"/>
                    </w:rPr>
                  </w:pPr>
                  <w:r>
                    <w:rPr>
                      <w:color w:val="auto"/>
                    </w:rPr>
                    <w:t>C20砼梯步</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pStyle w:val="54"/>
                    <w:spacing w:before="24" w:after="24" w:line="240" w:lineRule="auto"/>
                    <w:rPr>
                      <w:color w:val="auto"/>
                    </w:rPr>
                  </w:pPr>
                  <w:r>
                    <w:rPr>
                      <w:color w:val="auto"/>
                    </w:rPr>
                    <w:t>159.51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19</w:t>
                  </w:r>
                </w:p>
              </w:tc>
              <w:tc>
                <w:tcPr>
                  <w:tcW w:w="1888" w:type="pct"/>
                  <w:vAlign w:val="center"/>
                </w:tcPr>
                <w:p>
                  <w:pPr>
                    <w:pStyle w:val="54"/>
                    <w:spacing w:before="24" w:after="24" w:line="240" w:lineRule="auto"/>
                    <w:rPr>
                      <w:color w:val="auto"/>
                    </w:rPr>
                  </w:pPr>
                  <w:r>
                    <w:rPr>
                      <w:color w:val="auto"/>
                    </w:rPr>
                    <w:t>DN75PVC排水管</w:t>
                  </w:r>
                </w:p>
              </w:tc>
              <w:tc>
                <w:tcPr>
                  <w:tcW w:w="1250" w:type="pct"/>
                  <w:vAlign w:val="center"/>
                </w:tcPr>
                <w:p>
                  <w:pPr>
                    <w:pStyle w:val="54"/>
                    <w:spacing w:before="24" w:after="24" w:line="240" w:lineRule="auto"/>
                    <w:rPr>
                      <w:color w:val="auto"/>
                    </w:rPr>
                  </w:pPr>
                  <w:r>
                    <w:rPr>
                      <w:color w:val="auto"/>
                    </w:rPr>
                    <w:t>m</w:t>
                  </w:r>
                </w:p>
              </w:tc>
              <w:tc>
                <w:tcPr>
                  <w:tcW w:w="1253" w:type="pct"/>
                  <w:vAlign w:val="center"/>
                </w:tcPr>
                <w:p>
                  <w:pPr>
                    <w:pStyle w:val="54"/>
                    <w:spacing w:before="24" w:after="24" w:line="240" w:lineRule="auto"/>
                    <w:rPr>
                      <w:color w:val="auto"/>
                    </w:rPr>
                  </w:pPr>
                  <w:r>
                    <w:rPr>
                      <w:color w:val="auto"/>
                    </w:rPr>
                    <w:t>2488.9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20</w:t>
                  </w:r>
                </w:p>
              </w:tc>
              <w:tc>
                <w:tcPr>
                  <w:tcW w:w="1888" w:type="pct"/>
                  <w:vAlign w:val="center"/>
                </w:tcPr>
                <w:p>
                  <w:pPr>
                    <w:pStyle w:val="54"/>
                    <w:spacing w:before="24" w:after="24" w:line="240" w:lineRule="auto"/>
                    <w:rPr>
                      <w:color w:val="auto"/>
                    </w:rPr>
                  </w:pPr>
                  <w:r>
                    <w:rPr>
                      <w:color w:val="auto"/>
                    </w:rPr>
                    <w:t>滑模</w:t>
                  </w:r>
                </w:p>
              </w:tc>
              <w:tc>
                <w:tcPr>
                  <w:tcW w:w="1250" w:type="pct"/>
                  <w:vAlign w:val="center"/>
                </w:tcPr>
                <w:p>
                  <w:pPr>
                    <w:pStyle w:val="54"/>
                    <w:spacing w:before="24" w:after="24" w:line="240" w:lineRule="auto"/>
                    <w:rPr>
                      <w:color w:val="auto"/>
                      <w:vertAlign w:val="superscript"/>
                    </w:rPr>
                  </w:pPr>
                  <w:r>
                    <w:rPr>
                      <w:color w:val="auto"/>
                    </w:rPr>
                    <w:t>m</w:t>
                  </w:r>
                  <w:r>
                    <w:rPr>
                      <w:color w:val="auto"/>
                      <w:vertAlign w:val="superscript"/>
                    </w:rPr>
                    <w:t>2</w:t>
                  </w:r>
                </w:p>
              </w:tc>
              <w:tc>
                <w:tcPr>
                  <w:tcW w:w="1253" w:type="pct"/>
                  <w:vAlign w:val="center"/>
                </w:tcPr>
                <w:p>
                  <w:pPr>
                    <w:pStyle w:val="54"/>
                    <w:spacing w:before="24" w:after="24" w:line="240" w:lineRule="auto"/>
                    <w:rPr>
                      <w:color w:val="auto"/>
                    </w:rPr>
                  </w:pPr>
                  <w:r>
                    <w:rPr>
                      <w:color w:val="auto"/>
                    </w:rPr>
                    <w:t>52679.35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21</w:t>
                  </w:r>
                </w:p>
              </w:tc>
              <w:tc>
                <w:tcPr>
                  <w:tcW w:w="1888" w:type="pct"/>
                  <w:vAlign w:val="center"/>
                </w:tcPr>
                <w:p>
                  <w:pPr>
                    <w:pStyle w:val="54"/>
                    <w:spacing w:before="24" w:after="24" w:line="240" w:lineRule="auto"/>
                    <w:rPr>
                      <w:color w:val="auto"/>
                    </w:rPr>
                  </w:pPr>
                  <w:r>
                    <w:rPr>
                      <w:color w:val="auto"/>
                    </w:rPr>
                    <w:t>普通标准钢摸板</w:t>
                  </w:r>
                </w:p>
              </w:tc>
              <w:tc>
                <w:tcPr>
                  <w:tcW w:w="1250" w:type="pct"/>
                  <w:vAlign w:val="center"/>
                </w:tcPr>
                <w:p>
                  <w:pPr>
                    <w:pStyle w:val="54"/>
                    <w:spacing w:before="24" w:after="24" w:line="240" w:lineRule="auto"/>
                    <w:rPr>
                      <w:color w:val="auto"/>
                    </w:rPr>
                  </w:pPr>
                  <w:r>
                    <w:rPr>
                      <w:color w:val="auto"/>
                    </w:rPr>
                    <w:t>m</w:t>
                  </w:r>
                  <w:r>
                    <w:rPr>
                      <w:color w:val="auto"/>
                      <w:vertAlign w:val="superscript"/>
                    </w:rPr>
                    <w:t>2</w:t>
                  </w:r>
                </w:p>
              </w:tc>
              <w:tc>
                <w:tcPr>
                  <w:tcW w:w="1253" w:type="pct"/>
                  <w:vAlign w:val="center"/>
                </w:tcPr>
                <w:p>
                  <w:pPr>
                    <w:pStyle w:val="54"/>
                    <w:spacing w:before="24" w:after="24" w:line="240" w:lineRule="auto"/>
                    <w:rPr>
                      <w:color w:val="auto"/>
                    </w:rPr>
                  </w:pPr>
                  <w:r>
                    <w:rPr>
                      <w:color w:val="auto"/>
                    </w:rPr>
                    <w:t>13575.4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22</w:t>
                  </w:r>
                </w:p>
              </w:tc>
              <w:tc>
                <w:tcPr>
                  <w:tcW w:w="1888" w:type="pct"/>
                  <w:vAlign w:val="center"/>
                </w:tcPr>
                <w:p>
                  <w:pPr>
                    <w:pStyle w:val="54"/>
                    <w:spacing w:before="24" w:after="24" w:line="240" w:lineRule="auto"/>
                    <w:rPr>
                      <w:color w:val="auto"/>
                    </w:rPr>
                  </w:pPr>
                  <w:r>
                    <w:rPr>
                      <w:color w:val="auto"/>
                    </w:rPr>
                    <w:t>伸缩缝沥青木板</w:t>
                  </w:r>
                </w:p>
              </w:tc>
              <w:tc>
                <w:tcPr>
                  <w:tcW w:w="1250" w:type="pct"/>
                  <w:vAlign w:val="center"/>
                </w:tcPr>
                <w:p>
                  <w:pPr>
                    <w:pStyle w:val="54"/>
                    <w:spacing w:before="24" w:after="24" w:line="240" w:lineRule="auto"/>
                    <w:rPr>
                      <w:color w:val="auto"/>
                      <w:vertAlign w:val="superscript"/>
                    </w:rPr>
                  </w:pPr>
                  <w:r>
                    <w:rPr>
                      <w:color w:val="auto"/>
                    </w:rPr>
                    <w:t>m</w:t>
                  </w:r>
                  <w:r>
                    <w:rPr>
                      <w:color w:val="auto"/>
                      <w:vertAlign w:val="superscript"/>
                    </w:rPr>
                    <w:t>2</w:t>
                  </w:r>
                </w:p>
              </w:tc>
              <w:tc>
                <w:tcPr>
                  <w:tcW w:w="1253" w:type="pct"/>
                  <w:vAlign w:val="center"/>
                </w:tcPr>
                <w:p>
                  <w:pPr>
                    <w:pStyle w:val="54"/>
                    <w:spacing w:before="24" w:after="24" w:line="240" w:lineRule="auto"/>
                    <w:rPr>
                      <w:color w:val="auto"/>
                    </w:rPr>
                  </w:pPr>
                  <w:r>
                    <w:rPr>
                      <w:color w:val="auto"/>
                    </w:rPr>
                    <w:t>2090.47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23</w:t>
                  </w:r>
                </w:p>
              </w:tc>
              <w:tc>
                <w:tcPr>
                  <w:tcW w:w="1888" w:type="pct"/>
                  <w:vAlign w:val="center"/>
                </w:tcPr>
                <w:p>
                  <w:pPr>
                    <w:pStyle w:val="54"/>
                    <w:spacing w:before="24" w:after="24" w:line="240" w:lineRule="auto"/>
                    <w:rPr>
                      <w:color w:val="auto"/>
                    </w:rPr>
                  </w:pPr>
                  <w:r>
                    <w:rPr>
                      <w:color w:val="auto"/>
                    </w:rPr>
                    <w:t>水标尺</w:t>
                  </w:r>
                </w:p>
              </w:tc>
              <w:tc>
                <w:tcPr>
                  <w:tcW w:w="1250" w:type="pct"/>
                  <w:vAlign w:val="center"/>
                </w:tcPr>
                <w:p>
                  <w:pPr>
                    <w:pStyle w:val="54"/>
                    <w:spacing w:before="24" w:after="24" w:line="240" w:lineRule="auto"/>
                    <w:rPr>
                      <w:color w:val="auto"/>
                    </w:rPr>
                  </w:pPr>
                  <w:r>
                    <w:rPr>
                      <w:color w:val="auto"/>
                    </w:rPr>
                    <w:t>根</w:t>
                  </w:r>
                </w:p>
              </w:tc>
              <w:tc>
                <w:tcPr>
                  <w:tcW w:w="1253" w:type="pct"/>
                  <w:vAlign w:val="center"/>
                </w:tcPr>
                <w:p>
                  <w:pPr>
                    <w:pStyle w:val="54"/>
                    <w:spacing w:before="24" w:after="24" w:line="240" w:lineRule="auto"/>
                    <w:rPr>
                      <w:color w:val="auto"/>
                    </w:rPr>
                  </w:pPr>
                  <w:r>
                    <w:rPr>
                      <w:color w:val="auto"/>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pPr>
                    <w:pStyle w:val="54"/>
                    <w:spacing w:before="24" w:after="24" w:line="240" w:lineRule="auto"/>
                    <w:jc w:val="both"/>
                    <w:rPr>
                      <w:color w:val="auto"/>
                    </w:rPr>
                  </w:pPr>
                  <w:r>
                    <w:rPr>
                      <w:b/>
                      <w:bCs/>
                      <w:color w:val="auto"/>
                    </w:rPr>
                    <w:t>排涝工程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24</w:t>
                  </w:r>
                </w:p>
              </w:tc>
              <w:tc>
                <w:tcPr>
                  <w:tcW w:w="1888" w:type="pct"/>
                  <w:vAlign w:val="center"/>
                </w:tcPr>
                <w:p>
                  <w:pPr>
                    <w:pStyle w:val="54"/>
                    <w:spacing w:before="24" w:after="24" w:line="240" w:lineRule="auto"/>
                    <w:rPr>
                      <w:color w:val="auto"/>
                    </w:rPr>
                  </w:pPr>
                  <w:r>
                    <w:rPr>
                      <w:color w:val="auto"/>
                    </w:rPr>
                    <w:t>DN1000排涝涵管</w:t>
                  </w:r>
                </w:p>
              </w:tc>
              <w:tc>
                <w:tcPr>
                  <w:tcW w:w="1250" w:type="pct"/>
                  <w:vAlign w:val="center"/>
                </w:tcPr>
                <w:p>
                  <w:pPr>
                    <w:pStyle w:val="54"/>
                    <w:spacing w:before="24" w:after="24" w:line="240" w:lineRule="auto"/>
                    <w:rPr>
                      <w:color w:val="auto"/>
                    </w:rPr>
                  </w:pPr>
                  <w:r>
                    <w:rPr>
                      <w:color w:val="auto"/>
                    </w:rPr>
                    <w:t>m</w:t>
                  </w:r>
                </w:p>
              </w:tc>
              <w:tc>
                <w:tcPr>
                  <w:tcW w:w="1253" w:type="pct"/>
                  <w:vAlign w:val="center"/>
                </w:tcPr>
                <w:p>
                  <w:pPr>
                    <w:widowControl/>
                    <w:jc w:val="center"/>
                    <w:textAlignment w:val="center"/>
                    <w:rPr>
                      <w:color w:val="auto"/>
                      <w:kern w:val="0"/>
                      <w:szCs w:val="21"/>
                    </w:rPr>
                  </w:pPr>
                  <w:r>
                    <w:rPr>
                      <w:color w:val="auto"/>
                      <w:kern w:val="0"/>
                      <w:szCs w:val="21"/>
                    </w:rPr>
                    <w:t>119.48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25</w:t>
                  </w:r>
                </w:p>
              </w:tc>
              <w:tc>
                <w:tcPr>
                  <w:tcW w:w="1888" w:type="pct"/>
                  <w:vAlign w:val="center"/>
                </w:tcPr>
                <w:p>
                  <w:pPr>
                    <w:pStyle w:val="54"/>
                    <w:spacing w:before="24" w:after="24" w:line="240" w:lineRule="auto"/>
                    <w:rPr>
                      <w:color w:val="auto"/>
                    </w:rPr>
                  </w:pPr>
                  <w:r>
                    <w:rPr>
                      <w:color w:val="auto"/>
                    </w:rPr>
                    <w:t>DN1500排涝涵管</w:t>
                  </w:r>
                </w:p>
              </w:tc>
              <w:tc>
                <w:tcPr>
                  <w:tcW w:w="1250" w:type="pct"/>
                  <w:vAlign w:val="center"/>
                </w:tcPr>
                <w:p>
                  <w:pPr>
                    <w:pStyle w:val="54"/>
                    <w:spacing w:before="24" w:after="24" w:line="240" w:lineRule="auto"/>
                    <w:rPr>
                      <w:color w:val="auto"/>
                    </w:rPr>
                  </w:pPr>
                  <w:r>
                    <w:rPr>
                      <w:color w:val="auto"/>
                    </w:rPr>
                    <w:t>m</w:t>
                  </w:r>
                </w:p>
              </w:tc>
              <w:tc>
                <w:tcPr>
                  <w:tcW w:w="1253" w:type="pct"/>
                  <w:vAlign w:val="center"/>
                </w:tcPr>
                <w:p>
                  <w:pPr>
                    <w:widowControl/>
                    <w:jc w:val="center"/>
                    <w:textAlignment w:val="center"/>
                    <w:rPr>
                      <w:color w:val="auto"/>
                      <w:kern w:val="0"/>
                      <w:szCs w:val="21"/>
                    </w:rPr>
                  </w:pPr>
                  <w:r>
                    <w:rPr>
                      <w:color w:val="auto"/>
                      <w:kern w:val="0"/>
                      <w:szCs w:val="21"/>
                    </w:rPr>
                    <w:t>49.44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26</w:t>
                  </w:r>
                </w:p>
              </w:tc>
              <w:tc>
                <w:tcPr>
                  <w:tcW w:w="1888" w:type="pct"/>
                  <w:vAlign w:val="center"/>
                </w:tcPr>
                <w:p>
                  <w:pPr>
                    <w:pStyle w:val="54"/>
                    <w:spacing w:before="24" w:after="24" w:line="240" w:lineRule="auto"/>
                    <w:rPr>
                      <w:color w:val="auto"/>
                    </w:rPr>
                  </w:pPr>
                  <w:r>
                    <w:rPr>
                      <w:color w:val="auto"/>
                    </w:rPr>
                    <w:t>C25砼防冲齿墙</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27</w:t>
                  </w:r>
                </w:p>
              </w:tc>
              <w:tc>
                <w:tcPr>
                  <w:tcW w:w="1888" w:type="pct"/>
                  <w:vAlign w:val="center"/>
                </w:tcPr>
                <w:p>
                  <w:pPr>
                    <w:pStyle w:val="54"/>
                    <w:spacing w:before="24" w:after="24" w:line="240" w:lineRule="auto"/>
                    <w:rPr>
                      <w:color w:val="auto"/>
                    </w:rPr>
                  </w:pPr>
                  <w:r>
                    <w:rPr>
                      <w:color w:val="auto"/>
                    </w:rPr>
                    <w:t>C20砼防冲齿墙</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10.29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28</w:t>
                  </w:r>
                </w:p>
              </w:tc>
              <w:tc>
                <w:tcPr>
                  <w:tcW w:w="1888" w:type="pct"/>
                  <w:vAlign w:val="center"/>
                </w:tcPr>
                <w:p>
                  <w:pPr>
                    <w:pStyle w:val="54"/>
                    <w:spacing w:before="24" w:after="24" w:line="240" w:lineRule="auto"/>
                    <w:rPr>
                      <w:color w:val="auto"/>
                    </w:rPr>
                  </w:pPr>
                  <w:r>
                    <w:rPr>
                      <w:color w:val="auto"/>
                    </w:rPr>
                    <w:t>C25砼涵管基座</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6.95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29</w:t>
                  </w:r>
                </w:p>
              </w:tc>
              <w:tc>
                <w:tcPr>
                  <w:tcW w:w="1888" w:type="pct"/>
                  <w:vAlign w:val="center"/>
                </w:tcPr>
                <w:p>
                  <w:pPr>
                    <w:pStyle w:val="54"/>
                    <w:spacing w:before="24" w:after="24" w:line="240" w:lineRule="auto"/>
                    <w:rPr>
                      <w:color w:val="auto"/>
                    </w:rPr>
                  </w:pPr>
                  <w:r>
                    <w:rPr>
                      <w:color w:val="auto"/>
                    </w:rPr>
                    <w:t>C30砼箱涵</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63.02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30</w:t>
                  </w:r>
                </w:p>
              </w:tc>
              <w:tc>
                <w:tcPr>
                  <w:tcW w:w="1888" w:type="pct"/>
                  <w:vAlign w:val="center"/>
                </w:tcPr>
                <w:p>
                  <w:pPr>
                    <w:pStyle w:val="54"/>
                    <w:spacing w:before="24" w:after="24" w:line="240" w:lineRule="auto"/>
                    <w:rPr>
                      <w:color w:val="auto"/>
                    </w:rPr>
                  </w:pPr>
                  <w:r>
                    <w:rPr>
                      <w:color w:val="auto"/>
                    </w:rPr>
                    <w:t>C20齿墙</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90.12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31</w:t>
                  </w:r>
                </w:p>
              </w:tc>
              <w:tc>
                <w:tcPr>
                  <w:tcW w:w="1888" w:type="pct"/>
                  <w:vAlign w:val="center"/>
                </w:tcPr>
                <w:p>
                  <w:pPr>
                    <w:pStyle w:val="54"/>
                    <w:spacing w:before="24" w:after="24" w:line="240" w:lineRule="auto"/>
                    <w:rPr>
                      <w:color w:val="auto"/>
                    </w:rPr>
                  </w:pPr>
                  <w:r>
                    <w:rPr>
                      <w:color w:val="auto"/>
                    </w:rPr>
                    <w:t>C15砼垫层（10cm）</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32</w:t>
                  </w:r>
                </w:p>
              </w:tc>
              <w:tc>
                <w:tcPr>
                  <w:tcW w:w="1888" w:type="pct"/>
                  <w:vAlign w:val="center"/>
                </w:tcPr>
                <w:p>
                  <w:pPr>
                    <w:pStyle w:val="54"/>
                    <w:spacing w:before="24" w:after="24" w:line="240" w:lineRule="auto"/>
                    <w:rPr>
                      <w:color w:val="auto"/>
                    </w:rPr>
                  </w:pPr>
                  <w:r>
                    <w:rPr>
                      <w:color w:val="auto"/>
                    </w:rPr>
                    <w:t>钢筋</w:t>
                  </w:r>
                </w:p>
              </w:tc>
              <w:tc>
                <w:tcPr>
                  <w:tcW w:w="1250" w:type="pct"/>
                  <w:vAlign w:val="center"/>
                </w:tcPr>
                <w:p>
                  <w:pPr>
                    <w:pStyle w:val="54"/>
                    <w:spacing w:before="24" w:after="24" w:line="240" w:lineRule="auto"/>
                    <w:rPr>
                      <w:color w:val="auto"/>
                    </w:rPr>
                  </w:pPr>
                  <w:r>
                    <w:rPr>
                      <w:color w:val="auto"/>
                    </w:rPr>
                    <w:t>t</w:t>
                  </w:r>
                </w:p>
              </w:tc>
              <w:tc>
                <w:tcPr>
                  <w:tcW w:w="1253" w:type="pct"/>
                  <w:vAlign w:val="center"/>
                </w:tcPr>
                <w:p>
                  <w:pPr>
                    <w:widowControl/>
                    <w:jc w:val="center"/>
                    <w:textAlignment w:val="center"/>
                    <w:rPr>
                      <w:color w:val="auto"/>
                      <w:kern w:val="0"/>
                      <w:szCs w:val="21"/>
                    </w:rPr>
                  </w:pPr>
                  <w:r>
                    <w:rPr>
                      <w:color w:val="auto"/>
                      <w:kern w:val="0"/>
                      <w:szCs w:val="21"/>
                    </w:rPr>
                    <w:t>14.75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33</w:t>
                  </w:r>
                </w:p>
              </w:tc>
              <w:tc>
                <w:tcPr>
                  <w:tcW w:w="1888" w:type="pct"/>
                  <w:vAlign w:val="center"/>
                </w:tcPr>
                <w:p>
                  <w:pPr>
                    <w:pStyle w:val="54"/>
                    <w:spacing w:before="24" w:after="24" w:line="240" w:lineRule="auto"/>
                    <w:rPr>
                      <w:color w:val="auto"/>
                    </w:rPr>
                  </w:pPr>
                  <w:r>
                    <w:rPr>
                      <w:color w:val="auto"/>
                    </w:rPr>
                    <w:t>C25砼导流墙</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7.21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34</w:t>
                  </w:r>
                </w:p>
              </w:tc>
              <w:tc>
                <w:tcPr>
                  <w:tcW w:w="1888" w:type="pct"/>
                  <w:vAlign w:val="center"/>
                </w:tcPr>
                <w:p>
                  <w:pPr>
                    <w:pStyle w:val="54"/>
                    <w:spacing w:before="24" w:after="24" w:line="240" w:lineRule="auto"/>
                    <w:rPr>
                      <w:color w:val="auto"/>
                    </w:rPr>
                  </w:pPr>
                  <w:r>
                    <w:rPr>
                      <w:color w:val="auto"/>
                    </w:rPr>
                    <w:t>C30砼集水井</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26.44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35</w:t>
                  </w:r>
                </w:p>
              </w:tc>
              <w:tc>
                <w:tcPr>
                  <w:tcW w:w="1888" w:type="pct"/>
                  <w:vAlign w:val="center"/>
                </w:tcPr>
                <w:p>
                  <w:pPr>
                    <w:pStyle w:val="54"/>
                    <w:spacing w:before="24" w:after="24" w:line="240" w:lineRule="auto"/>
                    <w:rPr>
                      <w:color w:val="auto"/>
                    </w:rPr>
                  </w:pPr>
                  <w:r>
                    <w:rPr>
                      <w:color w:val="auto"/>
                    </w:rPr>
                    <w:t>C20砼导流墙</w:t>
                  </w:r>
                </w:p>
              </w:tc>
              <w:tc>
                <w:tcPr>
                  <w:tcW w:w="1250" w:type="pct"/>
                  <w:vAlign w:val="center"/>
                </w:tcPr>
                <w:p>
                  <w:pPr>
                    <w:pStyle w:val="54"/>
                    <w:spacing w:before="24" w:after="24" w:line="240" w:lineRule="auto"/>
                    <w:rPr>
                      <w:color w:val="auto"/>
                    </w:rPr>
                  </w:pPr>
                  <w:r>
                    <w:rPr>
                      <w:color w:val="auto"/>
                    </w:rPr>
                    <w:t>m</w:t>
                  </w:r>
                  <w:r>
                    <w:rPr>
                      <w:color w:val="auto"/>
                      <w:vertAlign w:val="superscript"/>
                    </w:rPr>
                    <w:t>3</w:t>
                  </w:r>
                </w:p>
              </w:tc>
              <w:tc>
                <w:tcPr>
                  <w:tcW w:w="1253" w:type="pct"/>
                  <w:vAlign w:val="center"/>
                </w:tcPr>
                <w:p>
                  <w:pPr>
                    <w:widowControl/>
                    <w:jc w:val="center"/>
                    <w:textAlignment w:val="center"/>
                    <w:rPr>
                      <w:color w:val="auto"/>
                      <w:kern w:val="0"/>
                      <w:szCs w:val="21"/>
                    </w:rPr>
                  </w:pPr>
                  <w:r>
                    <w:rPr>
                      <w:color w:val="auto"/>
                      <w:kern w:val="0"/>
                      <w:szCs w:val="21"/>
                    </w:rPr>
                    <w:t>45.44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36</w:t>
                  </w:r>
                </w:p>
              </w:tc>
              <w:tc>
                <w:tcPr>
                  <w:tcW w:w="1888" w:type="pct"/>
                  <w:vAlign w:val="center"/>
                </w:tcPr>
                <w:p>
                  <w:pPr>
                    <w:pStyle w:val="54"/>
                    <w:spacing w:before="24" w:after="24" w:line="240" w:lineRule="auto"/>
                    <w:rPr>
                      <w:color w:val="auto"/>
                    </w:rPr>
                  </w:pPr>
                  <w:r>
                    <w:rPr>
                      <w:color w:val="auto"/>
                    </w:rPr>
                    <w:t>普通标准钢摸板</w:t>
                  </w:r>
                </w:p>
              </w:tc>
              <w:tc>
                <w:tcPr>
                  <w:tcW w:w="1250" w:type="pct"/>
                  <w:vAlign w:val="center"/>
                </w:tcPr>
                <w:p>
                  <w:pPr>
                    <w:pStyle w:val="54"/>
                    <w:spacing w:before="24" w:after="24" w:line="240" w:lineRule="auto"/>
                    <w:rPr>
                      <w:color w:val="auto"/>
                    </w:rPr>
                  </w:pPr>
                  <w:r>
                    <w:rPr>
                      <w:color w:val="auto"/>
                    </w:rPr>
                    <w:t>m</w:t>
                  </w:r>
                  <w:r>
                    <w:rPr>
                      <w:color w:val="auto"/>
                      <w:vertAlign w:val="superscript"/>
                    </w:rPr>
                    <w:t>2</w:t>
                  </w:r>
                </w:p>
              </w:tc>
              <w:tc>
                <w:tcPr>
                  <w:tcW w:w="1253" w:type="pct"/>
                  <w:vAlign w:val="center"/>
                </w:tcPr>
                <w:p>
                  <w:pPr>
                    <w:widowControl/>
                    <w:jc w:val="center"/>
                    <w:textAlignment w:val="center"/>
                    <w:rPr>
                      <w:color w:val="auto"/>
                      <w:kern w:val="0"/>
                      <w:szCs w:val="21"/>
                    </w:rPr>
                  </w:pPr>
                  <w:r>
                    <w:rPr>
                      <w:color w:val="auto"/>
                      <w:kern w:val="0"/>
                      <w:szCs w:val="21"/>
                    </w:rPr>
                    <w:t>434.97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pPr>
                    <w:pStyle w:val="54"/>
                    <w:spacing w:before="24" w:after="24" w:line="240" w:lineRule="auto"/>
                    <w:jc w:val="both"/>
                    <w:rPr>
                      <w:color w:val="auto"/>
                    </w:rPr>
                  </w:pPr>
                  <w:r>
                    <w:rPr>
                      <w:b/>
                      <w:bCs/>
                      <w:color w:val="auto"/>
                    </w:rPr>
                    <w:t>疏浚工程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 w:type="pct"/>
                  <w:vAlign w:val="center"/>
                </w:tcPr>
                <w:p>
                  <w:pPr>
                    <w:pStyle w:val="54"/>
                    <w:spacing w:before="24" w:after="24" w:line="240" w:lineRule="auto"/>
                    <w:rPr>
                      <w:color w:val="auto"/>
                    </w:rPr>
                  </w:pPr>
                  <w:r>
                    <w:rPr>
                      <w:color w:val="auto"/>
                    </w:rPr>
                    <w:t>37</w:t>
                  </w:r>
                </w:p>
              </w:tc>
              <w:tc>
                <w:tcPr>
                  <w:tcW w:w="1888" w:type="pct"/>
                  <w:vAlign w:val="center"/>
                </w:tcPr>
                <w:p>
                  <w:pPr>
                    <w:pStyle w:val="54"/>
                    <w:spacing w:before="24" w:after="24" w:line="240" w:lineRule="auto"/>
                    <w:rPr>
                      <w:color w:val="auto"/>
                    </w:rPr>
                  </w:pPr>
                  <w:r>
                    <w:rPr>
                      <w:color w:val="auto"/>
                    </w:rPr>
                    <w:t>疏浚工程开挖（未计入不予实施段）</w:t>
                  </w:r>
                </w:p>
              </w:tc>
              <w:tc>
                <w:tcPr>
                  <w:tcW w:w="1250" w:type="pct"/>
                  <w:vAlign w:val="center"/>
                </w:tcPr>
                <w:p>
                  <w:pPr>
                    <w:pStyle w:val="54"/>
                    <w:spacing w:before="24" w:after="24" w:line="240" w:lineRule="auto"/>
                    <w:rPr>
                      <w:color w:val="auto"/>
                      <w:vertAlign w:val="superscript"/>
                    </w:rPr>
                  </w:pPr>
                  <w:r>
                    <w:rPr>
                      <w:color w:val="auto"/>
                    </w:rPr>
                    <w:t>万m</w:t>
                  </w:r>
                  <w:r>
                    <w:rPr>
                      <w:color w:val="auto"/>
                      <w:vertAlign w:val="superscript"/>
                    </w:rPr>
                    <w:t>3</w:t>
                  </w:r>
                </w:p>
              </w:tc>
              <w:tc>
                <w:tcPr>
                  <w:tcW w:w="1253" w:type="pct"/>
                  <w:vAlign w:val="center"/>
                </w:tcPr>
                <w:p>
                  <w:pPr>
                    <w:pStyle w:val="54"/>
                    <w:spacing w:before="24" w:after="24" w:line="240" w:lineRule="auto"/>
                    <w:rPr>
                      <w:rFonts w:hint="default"/>
                      <w:color w:val="auto"/>
                      <w:lang w:val="en-US"/>
                    </w:rPr>
                  </w:pPr>
                  <w:r>
                    <w:rPr>
                      <w:rFonts w:hint="eastAsia"/>
                      <w:color w:val="auto"/>
                      <w:lang w:val="en-US" w:eastAsia="zh-CN"/>
                    </w:rPr>
                    <w:t>20.31</w:t>
                  </w:r>
                </w:p>
              </w:tc>
            </w:tr>
          </w:tbl>
          <w:p>
            <w:pPr>
              <w:adjustRightInd w:val="0"/>
              <w:snapToGrid w:val="0"/>
              <w:spacing w:line="360" w:lineRule="auto"/>
              <w:rPr>
                <w:b/>
                <w:bCs/>
                <w:color w:val="auto"/>
                <w:sz w:val="24"/>
              </w:rPr>
            </w:pPr>
            <w:r>
              <w:rPr>
                <w:b/>
                <w:bCs/>
                <w:color w:val="auto"/>
                <w:sz w:val="24"/>
              </w:rPr>
              <w:t>四、主要工程参数</w:t>
            </w:r>
          </w:p>
          <w:p>
            <w:pPr>
              <w:adjustRightInd w:val="0"/>
              <w:snapToGrid w:val="0"/>
              <w:spacing w:line="360" w:lineRule="auto"/>
              <w:ind w:firstLine="482" w:firstLineChars="200"/>
              <w:jc w:val="left"/>
              <w:rPr>
                <w:b/>
                <w:bCs/>
                <w:color w:val="auto"/>
                <w:sz w:val="24"/>
              </w:rPr>
            </w:pPr>
            <w:r>
              <w:rPr>
                <w:b/>
                <w:bCs/>
                <w:color w:val="auto"/>
                <w:sz w:val="24"/>
              </w:rPr>
              <w:t>1、工程等级及防洪排涝标准</w:t>
            </w:r>
          </w:p>
          <w:bookmarkEnd w:id="3"/>
          <w:bookmarkEnd w:id="4"/>
          <w:p>
            <w:pPr>
              <w:spacing w:line="360" w:lineRule="auto"/>
              <w:ind w:firstLine="480" w:firstLineChars="200"/>
              <w:rPr>
                <w:color w:val="auto"/>
                <w:sz w:val="24"/>
              </w:rPr>
            </w:pPr>
            <w:r>
              <w:rPr>
                <w:color w:val="auto"/>
                <w:sz w:val="24"/>
              </w:rPr>
              <w:t>堤防工程等级为5级，主要建筑物等级为5级，次要建筑物等级为5级，临时建筑物等级为5级；防洪标准：本次新建堤防的防洪标准为5年一遇（P=20%）；排涝标准：工程河段排涝标准为5年一遇暴雨重现期。</w:t>
            </w:r>
          </w:p>
          <w:p>
            <w:pPr>
              <w:adjustRightInd w:val="0"/>
              <w:snapToGrid w:val="0"/>
              <w:spacing w:line="360" w:lineRule="auto"/>
              <w:ind w:firstLine="482" w:firstLineChars="200"/>
              <w:jc w:val="left"/>
              <w:rPr>
                <w:b/>
                <w:bCs/>
                <w:color w:val="auto"/>
                <w:sz w:val="24"/>
              </w:rPr>
            </w:pPr>
            <w:r>
              <w:rPr>
                <w:b/>
                <w:bCs/>
                <w:color w:val="auto"/>
                <w:sz w:val="24"/>
              </w:rPr>
              <w:t>2、防洪堤主要工程参数</w:t>
            </w:r>
          </w:p>
          <w:p>
            <w:pPr>
              <w:adjustRightInd w:val="0"/>
              <w:snapToGrid w:val="0"/>
              <w:spacing w:line="360" w:lineRule="auto"/>
              <w:ind w:firstLine="480" w:firstLineChars="200"/>
              <w:jc w:val="left"/>
              <w:rPr>
                <w:color w:val="auto"/>
                <w:sz w:val="24"/>
              </w:rPr>
            </w:pPr>
            <w:r>
              <w:rPr>
                <w:color w:val="auto"/>
                <w:sz w:val="24"/>
              </w:rPr>
              <w:t>根据设计，本工程采用碾压砂卵石料砼面板生态堤。</w:t>
            </w:r>
          </w:p>
          <w:p>
            <w:pPr>
              <w:adjustRightInd w:val="0"/>
              <w:snapToGrid w:val="0"/>
              <w:spacing w:line="360" w:lineRule="auto"/>
              <w:ind w:firstLine="480" w:firstLineChars="200"/>
              <w:jc w:val="left"/>
              <w:rPr>
                <w:color w:val="auto"/>
                <w:sz w:val="24"/>
              </w:rPr>
            </w:pPr>
            <w:r>
              <w:rPr>
                <w:color w:val="auto"/>
                <w:sz w:val="24"/>
              </w:rPr>
              <w:t>堤身采用砂卵石碾压填筑，堤顶宽3m，堤顶路面采用20cm厚C20砼现浇，两侧设0.25m×0.4m（宽×高）路肩石，临河侧设1.2m高人行栏杆，堤后回填边坡1：1.75m，坡脚设置C20砼排水沟(30cm×30cm)；在2年一遇设计洪水设一级马道，马道宽2.0m，马道路面采用20cm厚C20砼现浇路面，临河一侧设置0.5m高警示栏杆；马道以上边坡1:1.75，采用C20钢筋砼框格梁植草护坡，框格尺寸为5m×4m（长×宽）；马道以下边坡1:1.75，采用20cm厚C20砼面板护坡，下设5cm厚M7.5砂浆垫层。为适应不均匀沉降变形要求，防洪堤沿轴线方向每10m设置一道伸缩缝，缝宽2cm，缝内填充沥青木板。坡面梅花形设置DN75PVC排水管，坡度5%，间排距2.0m，基础埋深2.0，2.5m、3.0m。</w:t>
            </w:r>
          </w:p>
          <w:p>
            <w:pPr>
              <w:adjustRightInd w:val="0"/>
              <w:snapToGrid w:val="0"/>
              <w:spacing w:line="360" w:lineRule="auto"/>
              <w:jc w:val="center"/>
              <w:rPr>
                <w:color w:val="auto"/>
                <w:sz w:val="24"/>
              </w:rPr>
            </w:pPr>
            <w:r>
              <w:rPr>
                <w:color w:val="auto"/>
              </w:rPr>
              <w:drawing>
                <wp:inline distT="0" distB="0" distL="114300" distR="114300">
                  <wp:extent cx="5274310" cy="2227580"/>
                  <wp:effectExtent l="0" t="0" r="2540" b="127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6"/>
                          <a:stretch>
                            <a:fillRect/>
                          </a:stretch>
                        </pic:blipFill>
                        <pic:spPr>
                          <a:xfrm>
                            <a:off x="0" y="0"/>
                            <a:ext cx="5274310" cy="2227580"/>
                          </a:xfrm>
                          <a:prstGeom prst="rect">
                            <a:avLst/>
                          </a:prstGeom>
                          <a:noFill/>
                          <a:ln>
                            <a:noFill/>
                          </a:ln>
                        </pic:spPr>
                      </pic:pic>
                    </a:graphicData>
                  </a:graphic>
                </wp:inline>
              </w:drawing>
            </w:r>
          </w:p>
          <w:p>
            <w:pPr>
              <w:adjustRightInd w:val="0"/>
              <w:snapToGrid w:val="0"/>
              <w:spacing w:line="360" w:lineRule="auto"/>
              <w:jc w:val="center"/>
              <w:rPr>
                <w:b/>
                <w:bCs/>
                <w:color w:val="auto"/>
                <w:szCs w:val="21"/>
              </w:rPr>
            </w:pPr>
            <w:r>
              <w:rPr>
                <w:b/>
                <w:bCs/>
                <w:color w:val="auto"/>
                <w:szCs w:val="21"/>
              </w:rPr>
              <w:t>图2-1碾压砂卵石料面板生态堤堤型典型断面图</w:t>
            </w:r>
          </w:p>
          <w:p>
            <w:pPr>
              <w:adjustRightInd w:val="0"/>
              <w:snapToGrid w:val="0"/>
              <w:spacing w:line="360" w:lineRule="auto"/>
              <w:ind w:firstLine="482" w:firstLineChars="200"/>
              <w:jc w:val="left"/>
              <w:rPr>
                <w:b/>
                <w:bCs/>
                <w:color w:val="auto"/>
                <w:sz w:val="24"/>
              </w:rPr>
            </w:pPr>
            <w:r>
              <w:rPr>
                <w:b/>
                <w:bCs/>
                <w:color w:val="auto"/>
                <w:sz w:val="24"/>
              </w:rPr>
              <w:t>3、排涝涵管及箱涵主要工程参数</w:t>
            </w:r>
          </w:p>
          <w:p>
            <w:pPr>
              <w:adjustRightInd w:val="0"/>
              <w:snapToGrid w:val="0"/>
              <w:spacing w:line="360" w:lineRule="auto"/>
              <w:ind w:firstLine="480" w:firstLineChars="200"/>
              <w:jc w:val="left"/>
              <w:rPr>
                <w:color w:val="auto"/>
                <w:sz w:val="24"/>
              </w:rPr>
            </w:pPr>
            <w:r>
              <w:rPr>
                <w:color w:val="auto"/>
                <w:sz w:val="24"/>
              </w:rPr>
              <w:t>结合拟建堤防的实际情况，根据本次排涝计算，共布设了8处排水涵管，2处排水箱涵。</w:t>
            </w:r>
          </w:p>
          <w:p>
            <w:pPr>
              <w:adjustRightInd w:val="0"/>
              <w:snapToGrid w:val="0"/>
              <w:spacing w:line="360" w:lineRule="auto"/>
              <w:ind w:firstLine="480" w:firstLineChars="200"/>
              <w:jc w:val="left"/>
              <w:rPr>
                <w:color w:val="auto"/>
                <w:sz w:val="24"/>
              </w:rPr>
            </w:pPr>
            <w:r>
              <w:rPr>
                <w:color w:val="auto"/>
                <w:sz w:val="24"/>
              </w:rPr>
              <w:t>（1）排涝涵管：本堤防工程设计了8处穿堤涵管，其中1#、5#、6#、7#、9#、10#、涵管直径为DN1000，3#、8#穿堤涵管直径为DN1500；涵管进口与集水井连接，涵管纵坡向河，坡度根据现场实际情况而定，将洪水排入河内。</w:t>
            </w:r>
          </w:p>
          <w:p>
            <w:pPr>
              <w:adjustRightInd w:val="0"/>
              <w:snapToGrid w:val="0"/>
              <w:spacing w:line="360" w:lineRule="auto"/>
              <w:ind w:firstLine="480" w:firstLineChars="200"/>
              <w:jc w:val="left"/>
              <w:rPr>
                <w:color w:val="auto"/>
                <w:sz w:val="24"/>
              </w:rPr>
            </w:pPr>
            <w:r>
              <w:rPr>
                <w:color w:val="auto"/>
                <w:sz w:val="24"/>
              </w:rPr>
              <w:t>（2）排涝箱涵：箱涵净宽均为2.0m，净高均为1.5m，左、右侧、顶板、底板厚均为0.3m，顶部内倒角为30cm（宽）×30cm（高），底部内倒角30cm（宽）×30cm（高），涵身设置10cm厚C15砼垫层。箱涵基础选在碾压砂卵石填筑层上，基础承载力要求达到150KPa以上。涵身进口采用明渠与箱涵连接，连接处设置C25砼齿墙，齿墙尺寸2.0×0.9m（宽×高）；箱涵出口与砼面板连接处设C25砼齿墙，齿墙尺寸2.0×0.9m（宽×高）。</w:t>
            </w:r>
          </w:p>
          <w:p>
            <w:pPr>
              <w:adjustRightInd w:val="0"/>
              <w:snapToGrid w:val="0"/>
              <w:spacing w:line="360" w:lineRule="auto"/>
              <w:ind w:firstLine="480" w:firstLineChars="200"/>
              <w:jc w:val="left"/>
              <w:rPr>
                <w:color w:val="auto"/>
                <w:sz w:val="24"/>
              </w:rPr>
            </w:pPr>
            <w:r>
              <w:rPr>
                <w:color w:val="auto"/>
                <w:sz w:val="24"/>
              </w:rPr>
              <w:t>考虑箱涵出口处冲刷，设0.3m厚C25砼护坦，护坦长度以堤防回填地面线至面板连接段，外侧设C25砼齿墙，齿墙埋深根据冲刷深度一致。</w:t>
            </w:r>
          </w:p>
          <w:p>
            <w:pPr>
              <w:adjustRightInd w:val="0"/>
              <w:snapToGrid w:val="0"/>
              <w:spacing w:line="360" w:lineRule="auto"/>
              <w:ind w:firstLine="480" w:firstLineChars="200"/>
              <w:jc w:val="left"/>
              <w:rPr>
                <w:color w:val="auto"/>
                <w:sz w:val="24"/>
              </w:rPr>
            </w:pPr>
            <w:r>
              <w:rPr>
                <w:color w:val="auto"/>
                <w:sz w:val="24"/>
              </w:rPr>
              <w:t>具体位置、参数等见下表：</w:t>
            </w:r>
          </w:p>
          <w:p>
            <w:pPr>
              <w:pStyle w:val="63"/>
              <w:numPr>
                <w:ilvl w:val="0"/>
                <w:numId w:val="6"/>
              </w:numPr>
              <w:adjustRightInd w:val="0"/>
              <w:snapToGrid w:val="0"/>
              <w:rPr>
                <w:b/>
                <w:color w:val="auto"/>
                <w:szCs w:val="21"/>
              </w:rPr>
            </w:pPr>
            <w:r>
              <w:rPr>
                <w:b/>
                <w:color w:val="auto"/>
                <w:szCs w:val="21"/>
              </w:rPr>
              <w:t xml:space="preserve"> 排涝涵管、箱涵统计表</w:t>
            </w:r>
          </w:p>
          <w:tbl>
            <w:tblPr>
              <w:tblStyle w:val="3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9"/>
              <w:gridCol w:w="2257"/>
              <w:gridCol w:w="1864"/>
              <w:gridCol w:w="1408"/>
              <w:gridCol w:w="14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Merge w:val="restart"/>
                  <w:vAlign w:val="center"/>
                </w:tcPr>
                <w:p>
                  <w:pPr>
                    <w:widowControl/>
                    <w:adjustRightInd w:val="0"/>
                    <w:jc w:val="center"/>
                    <w:rPr>
                      <w:b/>
                      <w:color w:val="auto"/>
                      <w:kern w:val="0"/>
                      <w:szCs w:val="21"/>
                      <w:lang w:bidi="ar"/>
                    </w:rPr>
                  </w:pPr>
                  <w:r>
                    <w:rPr>
                      <w:b/>
                      <w:color w:val="auto"/>
                      <w:kern w:val="0"/>
                      <w:szCs w:val="21"/>
                      <w:lang w:bidi="ar"/>
                    </w:rPr>
                    <w:t>内涝分区</w:t>
                  </w:r>
                </w:p>
              </w:tc>
              <w:tc>
                <w:tcPr>
                  <w:tcW w:w="1332" w:type="pct"/>
                  <w:vMerge w:val="restart"/>
                  <w:vAlign w:val="center"/>
                </w:tcPr>
                <w:p>
                  <w:pPr>
                    <w:widowControl/>
                    <w:adjustRightInd w:val="0"/>
                    <w:jc w:val="center"/>
                    <w:rPr>
                      <w:b/>
                      <w:color w:val="auto"/>
                      <w:kern w:val="0"/>
                      <w:szCs w:val="21"/>
                      <w:lang w:bidi="ar"/>
                    </w:rPr>
                  </w:pPr>
                  <w:r>
                    <w:rPr>
                      <w:b/>
                      <w:color w:val="auto"/>
                      <w:kern w:val="0"/>
                      <w:szCs w:val="21"/>
                      <w:lang w:bidi="ar"/>
                    </w:rPr>
                    <w:t>桩号范围</w:t>
                  </w:r>
                </w:p>
              </w:tc>
              <w:tc>
                <w:tcPr>
                  <w:tcW w:w="1100" w:type="pct"/>
                  <w:vMerge w:val="restart"/>
                  <w:vAlign w:val="center"/>
                </w:tcPr>
                <w:p>
                  <w:pPr>
                    <w:widowControl/>
                    <w:adjustRightInd w:val="0"/>
                    <w:jc w:val="center"/>
                    <w:rPr>
                      <w:b/>
                      <w:color w:val="auto"/>
                      <w:kern w:val="0"/>
                      <w:szCs w:val="21"/>
                      <w:lang w:bidi="ar"/>
                    </w:rPr>
                  </w:pPr>
                  <w:r>
                    <w:rPr>
                      <w:b/>
                      <w:color w:val="auto"/>
                      <w:kern w:val="0"/>
                      <w:szCs w:val="21"/>
                      <w:lang w:bidi="ar"/>
                    </w:rPr>
                    <w:t>尺寸</w:t>
                  </w:r>
                </w:p>
              </w:tc>
              <w:tc>
                <w:tcPr>
                  <w:tcW w:w="831" w:type="pct"/>
                  <w:vMerge w:val="restart"/>
                  <w:vAlign w:val="center"/>
                </w:tcPr>
                <w:p>
                  <w:pPr>
                    <w:widowControl/>
                    <w:adjustRightInd w:val="0"/>
                    <w:jc w:val="center"/>
                    <w:rPr>
                      <w:b/>
                      <w:color w:val="auto"/>
                      <w:kern w:val="0"/>
                      <w:szCs w:val="21"/>
                      <w:lang w:bidi="ar"/>
                    </w:rPr>
                  </w:pPr>
                  <w:r>
                    <w:rPr>
                      <w:b/>
                      <w:color w:val="auto"/>
                      <w:kern w:val="0"/>
                      <w:szCs w:val="21"/>
                      <w:lang w:bidi="ar"/>
                    </w:rPr>
                    <w:t>长度（m）</w:t>
                  </w:r>
                </w:p>
              </w:tc>
              <w:tc>
                <w:tcPr>
                  <w:tcW w:w="833" w:type="pct"/>
                  <w:vMerge w:val="restart"/>
                  <w:vAlign w:val="center"/>
                </w:tcPr>
                <w:p>
                  <w:pPr>
                    <w:widowControl/>
                    <w:adjustRightInd w:val="0"/>
                    <w:jc w:val="center"/>
                    <w:rPr>
                      <w:b/>
                      <w:color w:val="auto"/>
                      <w:kern w:val="0"/>
                      <w:szCs w:val="21"/>
                      <w:lang w:bidi="ar"/>
                    </w:rPr>
                  </w:pPr>
                  <w:r>
                    <w:rPr>
                      <w:b/>
                      <w:color w:val="auto"/>
                      <w:kern w:val="0"/>
                      <w:szCs w:val="21"/>
                      <w:lang w:bidi="ar"/>
                    </w:rPr>
                    <w:t>比降（%）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Merge w:val="continue"/>
                  <w:vAlign w:val="center"/>
                </w:tcPr>
                <w:p>
                  <w:pPr>
                    <w:widowControl/>
                    <w:adjustRightInd w:val="0"/>
                    <w:jc w:val="left"/>
                    <w:rPr>
                      <w:b/>
                      <w:color w:val="auto"/>
                      <w:kern w:val="0"/>
                      <w:szCs w:val="21"/>
                      <w:lang w:bidi="ar"/>
                    </w:rPr>
                  </w:pPr>
                </w:p>
              </w:tc>
              <w:tc>
                <w:tcPr>
                  <w:tcW w:w="1332" w:type="pct"/>
                  <w:vMerge w:val="continue"/>
                  <w:vAlign w:val="center"/>
                </w:tcPr>
                <w:p>
                  <w:pPr>
                    <w:widowControl/>
                    <w:adjustRightInd w:val="0"/>
                    <w:jc w:val="center"/>
                    <w:rPr>
                      <w:b/>
                      <w:color w:val="auto"/>
                      <w:kern w:val="0"/>
                      <w:szCs w:val="21"/>
                      <w:lang w:bidi="ar"/>
                    </w:rPr>
                  </w:pPr>
                </w:p>
              </w:tc>
              <w:tc>
                <w:tcPr>
                  <w:tcW w:w="1100" w:type="pct"/>
                  <w:vMerge w:val="continue"/>
                  <w:vAlign w:val="center"/>
                </w:tcPr>
                <w:p>
                  <w:pPr>
                    <w:widowControl/>
                    <w:adjustRightInd w:val="0"/>
                    <w:jc w:val="center"/>
                    <w:rPr>
                      <w:b/>
                      <w:color w:val="auto"/>
                      <w:kern w:val="0"/>
                      <w:szCs w:val="21"/>
                      <w:lang w:bidi="ar"/>
                    </w:rPr>
                  </w:pPr>
                </w:p>
              </w:tc>
              <w:tc>
                <w:tcPr>
                  <w:tcW w:w="831" w:type="pct"/>
                  <w:vMerge w:val="continue"/>
                  <w:vAlign w:val="center"/>
                </w:tcPr>
                <w:p>
                  <w:pPr>
                    <w:widowControl/>
                    <w:adjustRightInd w:val="0"/>
                    <w:jc w:val="center"/>
                    <w:rPr>
                      <w:b/>
                      <w:color w:val="auto"/>
                      <w:kern w:val="0"/>
                      <w:szCs w:val="21"/>
                      <w:lang w:bidi="ar"/>
                    </w:rPr>
                  </w:pPr>
                </w:p>
              </w:tc>
              <w:tc>
                <w:tcPr>
                  <w:tcW w:w="833" w:type="pct"/>
                  <w:vMerge w:val="continue"/>
                  <w:vAlign w:val="center"/>
                </w:tcPr>
                <w:p>
                  <w:pPr>
                    <w:widowControl/>
                    <w:adjustRightInd w:val="0"/>
                    <w:jc w:val="center"/>
                    <w:rPr>
                      <w:b/>
                      <w:color w:val="auto"/>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1#山溪沟</w:t>
                  </w:r>
                </w:p>
              </w:tc>
              <w:tc>
                <w:tcPr>
                  <w:tcW w:w="1332" w:type="pct"/>
                  <w:vAlign w:val="center"/>
                </w:tcPr>
                <w:p>
                  <w:pPr>
                    <w:widowControl/>
                    <w:spacing w:line="300" w:lineRule="exact"/>
                    <w:jc w:val="center"/>
                    <w:rPr>
                      <w:color w:val="auto"/>
                      <w:kern w:val="0"/>
                      <w:szCs w:val="21"/>
                    </w:rPr>
                  </w:pPr>
                  <w:r>
                    <w:rPr>
                      <w:color w:val="auto"/>
                      <w:kern w:val="0"/>
                      <w:szCs w:val="21"/>
                    </w:rPr>
                    <w:t>广K0+238.00</w:t>
                  </w:r>
                </w:p>
              </w:tc>
              <w:tc>
                <w:tcPr>
                  <w:tcW w:w="1100" w:type="pct"/>
                  <w:vAlign w:val="center"/>
                </w:tcPr>
                <w:p>
                  <w:pPr>
                    <w:widowControl/>
                    <w:adjustRightInd w:val="0"/>
                    <w:jc w:val="center"/>
                    <w:rPr>
                      <w:color w:val="auto"/>
                      <w:kern w:val="0"/>
                      <w:szCs w:val="21"/>
                    </w:rPr>
                  </w:pPr>
                  <w:r>
                    <w:rPr>
                      <w:color w:val="auto"/>
                      <w:kern w:val="0"/>
                      <w:szCs w:val="21"/>
                    </w:rPr>
                    <w:t>DN1000</w:t>
                  </w:r>
                </w:p>
              </w:tc>
              <w:tc>
                <w:tcPr>
                  <w:tcW w:w="831" w:type="pct"/>
                  <w:vAlign w:val="center"/>
                </w:tcPr>
                <w:p>
                  <w:pPr>
                    <w:widowControl/>
                    <w:adjustRightInd w:val="0"/>
                    <w:jc w:val="center"/>
                    <w:rPr>
                      <w:color w:val="auto"/>
                      <w:kern w:val="0"/>
                      <w:szCs w:val="21"/>
                    </w:rPr>
                  </w:pPr>
                  <w:r>
                    <w:rPr>
                      <w:color w:val="auto"/>
                      <w:kern w:val="0"/>
                      <w:szCs w:val="21"/>
                    </w:rPr>
                    <w:t>30</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2#山溪沟</w:t>
                  </w:r>
                </w:p>
              </w:tc>
              <w:tc>
                <w:tcPr>
                  <w:tcW w:w="1332" w:type="pct"/>
                  <w:vAlign w:val="center"/>
                </w:tcPr>
                <w:p>
                  <w:pPr>
                    <w:widowControl/>
                    <w:spacing w:line="300" w:lineRule="exact"/>
                    <w:jc w:val="center"/>
                    <w:rPr>
                      <w:color w:val="auto"/>
                      <w:kern w:val="0"/>
                      <w:szCs w:val="21"/>
                    </w:rPr>
                  </w:pPr>
                  <w:r>
                    <w:rPr>
                      <w:color w:val="auto"/>
                      <w:kern w:val="0"/>
                      <w:szCs w:val="21"/>
                    </w:rPr>
                    <w:t>广K0+454.00</w:t>
                  </w:r>
                </w:p>
              </w:tc>
              <w:tc>
                <w:tcPr>
                  <w:tcW w:w="1100" w:type="pct"/>
                  <w:vAlign w:val="center"/>
                </w:tcPr>
                <w:p>
                  <w:pPr>
                    <w:widowControl/>
                    <w:adjustRightInd w:val="0"/>
                    <w:jc w:val="center"/>
                    <w:rPr>
                      <w:color w:val="auto"/>
                      <w:kern w:val="0"/>
                      <w:szCs w:val="21"/>
                    </w:rPr>
                  </w:pPr>
                  <w:r>
                    <w:rPr>
                      <w:color w:val="auto"/>
                      <w:kern w:val="0"/>
                      <w:szCs w:val="21"/>
                    </w:rPr>
                    <w:t>2m×1.5m箱涵</w:t>
                  </w:r>
                </w:p>
              </w:tc>
              <w:tc>
                <w:tcPr>
                  <w:tcW w:w="831" w:type="pct"/>
                  <w:vAlign w:val="center"/>
                </w:tcPr>
                <w:p>
                  <w:pPr>
                    <w:widowControl/>
                    <w:adjustRightInd w:val="0"/>
                    <w:jc w:val="center"/>
                    <w:rPr>
                      <w:color w:val="auto"/>
                      <w:kern w:val="0"/>
                      <w:szCs w:val="21"/>
                    </w:rPr>
                  </w:pPr>
                  <w:r>
                    <w:rPr>
                      <w:color w:val="auto"/>
                      <w:kern w:val="0"/>
                      <w:szCs w:val="21"/>
                    </w:rPr>
                    <w:t>23</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3#山溪沟</w:t>
                  </w:r>
                </w:p>
              </w:tc>
              <w:tc>
                <w:tcPr>
                  <w:tcW w:w="1332" w:type="pct"/>
                  <w:vAlign w:val="center"/>
                </w:tcPr>
                <w:p>
                  <w:pPr>
                    <w:widowControl/>
                    <w:spacing w:line="300" w:lineRule="exact"/>
                    <w:jc w:val="center"/>
                    <w:rPr>
                      <w:color w:val="auto"/>
                      <w:kern w:val="0"/>
                      <w:szCs w:val="21"/>
                    </w:rPr>
                  </w:pPr>
                  <w:r>
                    <w:rPr>
                      <w:color w:val="auto"/>
                      <w:kern w:val="0"/>
                      <w:szCs w:val="21"/>
                    </w:rPr>
                    <w:t>广K0+757.00</w:t>
                  </w:r>
                </w:p>
              </w:tc>
              <w:tc>
                <w:tcPr>
                  <w:tcW w:w="1100" w:type="pct"/>
                  <w:vAlign w:val="center"/>
                </w:tcPr>
                <w:p>
                  <w:pPr>
                    <w:widowControl/>
                    <w:adjustRightInd w:val="0"/>
                    <w:jc w:val="center"/>
                    <w:rPr>
                      <w:color w:val="auto"/>
                      <w:kern w:val="0"/>
                      <w:szCs w:val="21"/>
                    </w:rPr>
                  </w:pPr>
                  <w:r>
                    <w:rPr>
                      <w:color w:val="auto"/>
                      <w:kern w:val="0"/>
                      <w:szCs w:val="21"/>
                    </w:rPr>
                    <w:t>DN1500</w:t>
                  </w:r>
                </w:p>
              </w:tc>
              <w:tc>
                <w:tcPr>
                  <w:tcW w:w="831" w:type="pct"/>
                  <w:vAlign w:val="center"/>
                </w:tcPr>
                <w:p>
                  <w:pPr>
                    <w:widowControl/>
                    <w:adjustRightInd w:val="0"/>
                    <w:jc w:val="center"/>
                    <w:rPr>
                      <w:color w:val="auto"/>
                      <w:kern w:val="0"/>
                      <w:szCs w:val="21"/>
                    </w:rPr>
                  </w:pPr>
                  <w:r>
                    <w:rPr>
                      <w:color w:val="auto"/>
                      <w:kern w:val="0"/>
                      <w:szCs w:val="21"/>
                    </w:rPr>
                    <w:t>24</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4#山溪沟</w:t>
                  </w:r>
                </w:p>
              </w:tc>
              <w:tc>
                <w:tcPr>
                  <w:tcW w:w="1332" w:type="pct"/>
                  <w:vAlign w:val="center"/>
                </w:tcPr>
                <w:p>
                  <w:pPr>
                    <w:widowControl/>
                    <w:spacing w:line="300" w:lineRule="exact"/>
                    <w:jc w:val="center"/>
                    <w:rPr>
                      <w:color w:val="auto"/>
                      <w:kern w:val="0"/>
                      <w:szCs w:val="21"/>
                    </w:rPr>
                  </w:pPr>
                  <w:r>
                    <w:rPr>
                      <w:color w:val="auto"/>
                      <w:kern w:val="0"/>
                      <w:szCs w:val="21"/>
                    </w:rPr>
                    <w:t>广K0+925.00</w:t>
                  </w:r>
                </w:p>
              </w:tc>
              <w:tc>
                <w:tcPr>
                  <w:tcW w:w="1100" w:type="pct"/>
                  <w:vAlign w:val="center"/>
                </w:tcPr>
                <w:p>
                  <w:pPr>
                    <w:widowControl/>
                    <w:adjustRightInd w:val="0"/>
                    <w:jc w:val="center"/>
                    <w:rPr>
                      <w:color w:val="auto"/>
                      <w:kern w:val="0"/>
                      <w:szCs w:val="21"/>
                    </w:rPr>
                  </w:pPr>
                  <w:r>
                    <w:rPr>
                      <w:color w:val="auto"/>
                      <w:kern w:val="0"/>
                      <w:szCs w:val="21"/>
                    </w:rPr>
                    <w:t>2m×1.5m箱涵</w:t>
                  </w:r>
                </w:p>
              </w:tc>
              <w:tc>
                <w:tcPr>
                  <w:tcW w:w="831" w:type="pct"/>
                  <w:vAlign w:val="center"/>
                </w:tcPr>
                <w:p>
                  <w:pPr>
                    <w:widowControl/>
                    <w:adjustRightInd w:val="0"/>
                    <w:jc w:val="center"/>
                    <w:rPr>
                      <w:color w:val="auto"/>
                      <w:kern w:val="0"/>
                      <w:szCs w:val="21"/>
                    </w:rPr>
                  </w:pPr>
                  <w:r>
                    <w:rPr>
                      <w:color w:val="auto"/>
                      <w:kern w:val="0"/>
                      <w:szCs w:val="21"/>
                    </w:rPr>
                    <w:t>25</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5#区域</w:t>
                  </w:r>
                </w:p>
              </w:tc>
              <w:tc>
                <w:tcPr>
                  <w:tcW w:w="1332" w:type="pct"/>
                  <w:vAlign w:val="center"/>
                </w:tcPr>
                <w:p>
                  <w:pPr>
                    <w:widowControl/>
                    <w:spacing w:line="300" w:lineRule="exact"/>
                    <w:jc w:val="center"/>
                    <w:rPr>
                      <w:b/>
                      <w:bCs/>
                      <w:color w:val="auto"/>
                      <w:kern w:val="0"/>
                      <w:szCs w:val="21"/>
                    </w:rPr>
                  </w:pPr>
                  <w:r>
                    <w:rPr>
                      <w:color w:val="auto"/>
                      <w:kern w:val="0"/>
                      <w:szCs w:val="21"/>
                    </w:rPr>
                    <w:t>广K1+530.00</w:t>
                  </w:r>
                </w:p>
              </w:tc>
              <w:tc>
                <w:tcPr>
                  <w:tcW w:w="1100" w:type="pct"/>
                  <w:vAlign w:val="center"/>
                </w:tcPr>
                <w:p>
                  <w:pPr>
                    <w:widowControl/>
                    <w:adjustRightInd w:val="0"/>
                    <w:jc w:val="center"/>
                    <w:rPr>
                      <w:color w:val="auto"/>
                      <w:kern w:val="0"/>
                      <w:szCs w:val="21"/>
                    </w:rPr>
                  </w:pPr>
                  <w:r>
                    <w:rPr>
                      <w:color w:val="auto"/>
                      <w:kern w:val="0"/>
                      <w:szCs w:val="21"/>
                    </w:rPr>
                    <w:t>DN1000</w:t>
                  </w:r>
                </w:p>
              </w:tc>
              <w:tc>
                <w:tcPr>
                  <w:tcW w:w="831" w:type="pct"/>
                  <w:vAlign w:val="center"/>
                </w:tcPr>
                <w:p>
                  <w:pPr>
                    <w:widowControl/>
                    <w:adjustRightInd w:val="0"/>
                    <w:jc w:val="center"/>
                    <w:rPr>
                      <w:color w:val="auto"/>
                      <w:kern w:val="0"/>
                      <w:szCs w:val="21"/>
                    </w:rPr>
                  </w:pPr>
                  <w:r>
                    <w:rPr>
                      <w:color w:val="auto"/>
                      <w:kern w:val="0"/>
                      <w:szCs w:val="21"/>
                    </w:rPr>
                    <w:t>22</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6#区域</w:t>
                  </w:r>
                </w:p>
              </w:tc>
              <w:tc>
                <w:tcPr>
                  <w:tcW w:w="1332" w:type="pct"/>
                  <w:vAlign w:val="center"/>
                </w:tcPr>
                <w:p>
                  <w:pPr>
                    <w:widowControl/>
                    <w:spacing w:line="300" w:lineRule="exact"/>
                    <w:jc w:val="center"/>
                    <w:rPr>
                      <w:color w:val="auto"/>
                      <w:kern w:val="0"/>
                      <w:szCs w:val="21"/>
                    </w:rPr>
                  </w:pPr>
                  <w:r>
                    <w:rPr>
                      <w:color w:val="auto"/>
                      <w:kern w:val="0"/>
                      <w:szCs w:val="21"/>
                    </w:rPr>
                    <w:t>广K1+760.00</w:t>
                  </w:r>
                </w:p>
              </w:tc>
              <w:tc>
                <w:tcPr>
                  <w:tcW w:w="1100" w:type="pct"/>
                  <w:vAlign w:val="center"/>
                </w:tcPr>
                <w:p>
                  <w:pPr>
                    <w:widowControl/>
                    <w:adjustRightInd w:val="0"/>
                    <w:jc w:val="center"/>
                    <w:rPr>
                      <w:color w:val="auto"/>
                      <w:kern w:val="0"/>
                      <w:szCs w:val="21"/>
                    </w:rPr>
                  </w:pPr>
                  <w:r>
                    <w:rPr>
                      <w:color w:val="auto"/>
                      <w:kern w:val="0"/>
                      <w:szCs w:val="21"/>
                    </w:rPr>
                    <w:t>DN1000</w:t>
                  </w:r>
                </w:p>
              </w:tc>
              <w:tc>
                <w:tcPr>
                  <w:tcW w:w="831" w:type="pct"/>
                  <w:vAlign w:val="center"/>
                </w:tcPr>
                <w:p>
                  <w:pPr>
                    <w:widowControl/>
                    <w:adjustRightInd w:val="0"/>
                    <w:jc w:val="center"/>
                    <w:rPr>
                      <w:color w:val="auto"/>
                      <w:kern w:val="0"/>
                      <w:szCs w:val="21"/>
                    </w:rPr>
                  </w:pPr>
                  <w:r>
                    <w:rPr>
                      <w:color w:val="auto"/>
                      <w:kern w:val="0"/>
                      <w:szCs w:val="21"/>
                    </w:rPr>
                    <w:t>23</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7#区域</w:t>
                  </w:r>
                </w:p>
              </w:tc>
              <w:tc>
                <w:tcPr>
                  <w:tcW w:w="1332" w:type="pct"/>
                  <w:vAlign w:val="center"/>
                </w:tcPr>
                <w:p>
                  <w:pPr>
                    <w:widowControl/>
                    <w:spacing w:line="300" w:lineRule="exact"/>
                    <w:jc w:val="center"/>
                    <w:rPr>
                      <w:color w:val="auto"/>
                      <w:kern w:val="0"/>
                      <w:szCs w:val="21"/>
                    </w:rPr>
                  </w:pPr>
                  <w:r>
                    <w:rPr>
                      <w:color w:val="auto"/>
                      <w:kern w:val="0"/>
                      <w:szCs w:val="21"/>
                    </w:rPr>
                    <w:t>广K2+140.00</w:t>
                  </w:r>
                </w:p>
              </w:tc>
              <w:tc>
                <w:tcPr>
                  <w:tcW w:w="1100" w:type="pct"/>
                  <w:vAlign w:val="center"/>
                </w:tcPr>
                <w:p>
                  <w:pPr>
                    <w:widowControl/>
                    <w:adjustRightInd w:val="0"/>
                    <w:jc w:val="center"/>
                    <w:rPr>
                      <w:color w:val="auto"/>
                      <w:kern w:val="0"/>
                      <w:szCs w:val="21"/>
                    </w:rPr>
                  </w:pPr>
                  <w:r>
                    <w:rPr>
                      <w:color w:val="auto"/>
                      <w:kern w:val="0"/>
                      <w:szCs w:val="21"/>
                    </w:rPr>
                    <w:t>DN1000</w:t>
                  </w:r>
                </w:p>
              </w:tc>
              <w:tc>
                <w:tcPr>
                  <w:tcW w:w="831" w:type="pct"/>
                  <w:vAlign w:val="center"/>
                </w:tcPr>
                <w:p>
                  <w:pPr>
                    <w:widowControl/>
                    <w:adjustRightInd w:val="0"/>
                    <w:jc w:val="center"/>
                    <w:rPr>
                      <w:color w:val="auto"/>
                      <w:kern w:val="0"/>
                      <w:szCs w:val="21"/>
                    </w:rPr>
                  </w:pPr>
                  <w:r>
                    <w:rPr>
                      <w:color w:val="auto"/>
                      <w:kern w:val="0"/>
                      <w:szCs w:val="21"/>
                    </w:rPr>
                    <w:t>23</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8#区域</w:t>
                  </w:r>
                </w:p>
              </w:tc>
              <w:tc>
                <w:tcPr>
                  <w:tcW w:w="1332" w:type="pct"/>
                  <w:vAlign w:val="center"/>
                </w:tcPr>
                <w:p>
                  <w:pPr>
                    <w:widowControl/>
                    <w:spacing w:line="300" w:lineRule="exact"/>
                    <w:jc w:val="center"/>
                    <w:rPr>
                      <w:color w:val="auto"/>
                      <w:kern w:val="0"/>
                      <w:szCs w:val="21"/>
                    </w:rPr>
                  </w:pPr>
                  <w:r>
                    <w:rPr>
                      <w:color w:val="auto"/>
                      <w:kern w:val="0"/>
                      <w:szCs w:val="21"/>
                    </w:rPr>
                    <w:t>广K3+220.00</w:t>
                  </w:r>
                </w:p>
              </w:tc>
              <w:tc>
                <w:tcPr>
                  <w:tcW w:w="1100" w:type="pct"/>
                  <w:vAlign w:val="center"/>
                </w:tcPr>
                <w:p>
                  <w:pPr>
                    <w:widowControl/>
                    <w:adjustRightInd w:val="0"/>
                    <w:jc w:val="center"/>
                    <w:rPr>
                      <w:color w:val="auto"/>
                      <w:kern w:val="0"/>
                      <w:szCs w:val="21"/>
                    </w:rPr>
                  </w:pPr>
                  <w:r>
                    <w:rPr>
                      <w:color w:val="auto"/>
                      <w:kern w:val="0"/>
                      <w:szCs w:val="21"/>
                    </w:rPr>
                    <w:t>DN1500</w:t>
                  </w:r>
                </w:p>
              </w:tc>
              <w:tc>
                <w:tcPr>
                  <w:tcW w:w="831" w:type="pct"/>
                  <w:vAlign w:val="center"/>
                </w:tcPr>
                <w:p>
                  <w:pPr>
                    <w:widowControl/>
                    <w:adjustRightInd w:val="0"/>
                    <w:jc w:val="center"/>
                    <w:rPr>
                      <w:color w:val="auto"/>
                      <w:kern w:val="0"/>
                      <w:szCs w:val="21"/>
                    </w:rPr>
                  </w:pPr>
                  <w:r>
                    <w:rPr>
                      <w:color w:val="auto"/>
                      <w:kern w:val="0"/>
                      <w:szCs w:val="21"/>
                    </w:rPr>
                    <w:t>24</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9#区域</w:t>
                  </w:r>
                </w:p>
              </w:tc>
              <w:tc>
                <w:tcPr>
                  <w:tcW w:w="1332" w:type="pct"/>
                  <w:vAlign w:val="center"/>
                </w:tcPr>
                <w:p>
                  <w:pPr>
                    <w:widowControl/>
                    <w:spacing w:line="300" w:lineRule="exact"/>
                    <w:jc w:val="center"/>
                    <w:rPr>
                      <w:color w:val="auto"/>
                      <w:kern w:val="0"/>
                      <w:szCs w:val="21"/>
                    </w:rPr>
                  </w:pPr>
                  <w:r>
                    <w:rPr>
                      <w:color w:val="auto"/>
                      <w:kern w:val="0"/>
                      <w:szCs w:val="21"/>
                    </w:rPr>
                    <w:t>广K3+540.00</w:t>
                  </w:r>
                </w:p>
              </w:tc>
              <w:tc>
                <w:tcPr>
                  <w:tcW w:w="1100" w:type="pct"/>
                  <w:vAlign w:val="center"/>
                </w:tcPr>
                <w:p>
                  <w:pPr>
                    <w:widowControl/>
                    <w:adjustRightInd w:val="0"/>
                    <w:jc w:val="center"/>
                    <w:rPr>
                      <w:color w:val="auto"/>
                      <w:kern w:val="0"/>
                      <w:szCs w:val="21"/>
                    </w:rPr>
                  </w:pPr>
                  <w:r>
                    <w:rPr>
                      <w:color w:val="auto"/>
                      <w:kern w:val="0"/>
                      <w:szCs w:val="21"/>
                    </w:rPr>
                    <w:t>DN1000</w:t>
                  </w:r>
                </w:p>
              </w:tc>
              <w:tc>
                <w:tcPr>
                  <w:tcW w:w="831" w:type="pct"/>
                  <w:vAlign w:val="center"/>
                </w:tcPr>
                <w:p>
                  <w:pPr>
                    <w:widowControl/>
                    <w:adjustRightInd w:val="0"/>
                    <w:jc w:val="center"/>
                    <w:rPr>
                      <w:color w:val="auto"/>
                      <w:kern w:val="0"/>
                      <w:szCs w:val="21"/>
                    </w:rPr>
                  </w:pPr>
                  <w:r>
                    <w:rPr>
                      <w:color w:val="auto"/>
                      <w:kern w:val="0"/>
                      <w:szCs w:val="21"/>
                    </w:rPr>
                    <w:t>24</w:t>
                  </w:r>
                </w:p>
              </w:tc>
              <w:tc>
                <w:tcPr>
                  <w:tcW w:w="833" w:type="pct"/>
                  <w:vAlign w:val="center"/>
                </w:tcPr>
                <w:p>
                  <w:pPr>
                    <w:widowControl/>
                    <w:adjustRightInd w:val="0"/>
                    <w:jc w:val="center"/>
                    <w:rPr>
                      <w:color w:val="auto"/>
                      <w:kern w:val="0"/>
                      <w:szCs w:val="21"/>
                    </w:rPr>
                  </w:pPr>
                  <w:r>
                    <w:rPr>
                      <w:color w:val="auto"/>
                      <w:kern w:val="0"/>
                      <w:szCs w:val="21"/>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2" w:type="pct"/>
                  <w:vAlign w:val="center"/>
                </w:tcPr>
                <w:p>
                  <w:pPr>
                    <w:widowControl/>
                    <w:spacing w:line="300" w:lineRule="exact"/>
                    <w:jc w:val="center"/>
                    <w:rPr>
                      <w:color w:val="auto"/>
                      <w:kern w:val="0"/>
                      <w:szCs w:val="21"/>
                    </w:rPr>
                  </w:pPr>
                  <w:r>
                    <w:rPr>
                      <w:color w:val="auto"/>
                      <w:kern w:val="0"/>
                      <w:szCs w:val="21"/>
                    </w:rPr>
                    <w:t>10#区域</w:t>
                  </w:r>
                </w:p>
              </w:tc>
              <w:tc>
                <w:tcPr>
                  <w:tcW w:w="1332" w:type="pct"/>
                  <w:vAlign w:val="center"/>
                </w:tcPr>
                <w:p>
                  <w:pPr>
                    <w:widowControl/>
                    <w:spacing w:line="300" w:lineRule="exact"/>
                    <w:jc w:val="center"/>
                    <w:rPr>
                      <w:color w:val="auto"/>
                      <w:kern w:val="0"/>
                      <w:szCs w:val="21"/>
                    </w:rPr>
                  </w:pPr>
                  <w:r>
                    <w:rPr>
                      <w:color w:val="auto"/>
                      <w:kern w:val="0"/>
                      <w:szCs w:val="21"/>
                    </w:rPr>
                    <w:t>广K5+383.00</w:t>
                  </w:r>
                </w:p>
              </w:tc>
              <w:tc>
                <w:tcPr>
                  <w:tcW w:w="1100" w:type="pct"/>
                  <w:vAlign w:val="center"/>
                </w:tcPr>
                <w:p>
                  <w:pPr>
                    <w:widowControl/>
                    <w:adjustRightInd w:val="0"/>
                    <w:jc w:val="center"/>
                    <w:rPr>
                      <w:color w:val="auto"/>
                      <w:kern w:val="0"/>
                      <w:szCs w:val="21"/>
                    </w:rPr>
                  </w:pPr>
                  <w:r>
                    <w:rPr>
                      <w:color w:val="auto"/>
                      <w:kern w:val="0"/>
                      <w:szCs w:val="21"/>
                    </w:rPr>
                    <w:t>DN1000</w:t>
                  </w:r>
                </w:p>
              </w:tc>
              <w:tc>
                <w:tcPr>
                  <w:tcW w:w="831" w:type="pct"/>
                  <w:vAlign w:val="center"/>
                </w:tcPr>
                <w:p>
                  <w:pPr>
                    <w:widowControl/>
                    <w:adjustRightInd w:val="0"/>
                    <w:jc w:val="center"/>
                    <w:rPr>
                      <w:color w:val="auto"/>
                      <w:kern w:val="0"/>
                      <w:szCs w:val="21"/>
                    </w:rPr>
                  </w:pPr>
                  <w:r>
                    <w:rPr>
                      <w:color w:val="auto"/>
                      <w:kern w:val="0"/>
                      <w:szCs w:val="21"/>
                    </w:rPr>
                    <w:t>15</w:t>
                  </w:r>
                </w:p>
              </w:tc>
              <w:tc>
                <w:tcPr>
                  <w:tcW w:w="833" w:type="pct"/>
                  <w:vAlign w:val="center"/>
                </w:tcPr>
                <w:p>
                  <w:pPr>
                    <w:widowControl/>
                    <w:adjustRightInd w:val="0"/>
                    <w:jc w:val="center"/>
                    <w:rPr>
                      <w:color w:val="auto"/>
                      <w:kern w:val="0"/>
                      <w:szCs w:val="21"/>
                    </w:rPr>
                  </w:pPr>
                  <w:r>
                    <w:rPr>
                      <w:color w:val="auto"/>
                      <w:kern w:val="0"/>
                      <w:szCs w:val="21"/>
                    </w:rPr>
                    <w:t>5</w:t>
                  </w:r>
                </w:p>
              </w:tc>
            </w:tr>
          </w:tbl>
          <w:p>
            <w:pPr>
              <w:adjustRightInd w:val="0"/>
              <w:snapToGrid w:val="0"/>
              <w:spacing w:line="360" w:lineRule="auto"/>
              <w:ind w:firstLine="482" w:firstLineChars="200"/>
              <w:jc w:val="left"/>
              <w:rPr>
                <w:b/>
                <w:bCs/>
                <w:color w:val="auto"/>
                <w:sz w:val="24"/>
              </w:rPr>
            </w:pPr>
            <w:r>
              <w:rPr>
                <w:b/>
                <w:bCs/>
                <w:color w:val="auto"/>
                <w:sz w:val="24"/>
              </w:rPr>
              <w:t>4、清淤疏浚主要工程参数</w:t>
            </w:r>
          </w:p>
          <w:p>
            <w:pPr>
              <w:adjustRightInd w:val="0"/>
              <w:snapToGrid w:val="0"/>
              <w:spacing w:line="360" w:lineRule="auto"/>
              <w:ind w:firstLine="480" w:firstLineChars="200"/>
              <w:jc w:val="left"/>
              <w:rPr>
                <w:color w:val="auto"/>
                <w:sz w:val="24"/>
              </w:rPr>
            </w:pPr>
            <w:r>
              <w:rPr>
                <w:color w:val="auto"/>
                <w:sz w:val="24"/>
              </w:rPr>
              <w:t>河道整理的模式及基本原则为：</w:t>
            </w:r>
          </w:p>
          <w:p>
            <w:pPr>
              <w:adjustRightInd w:val="0"/>
              <w:snapToGrid w:val="0"/>
              <w:spacing w:line="360" w:lineRule="auto"/>
              <w:ind w:firstLine="480" w:firstLineChars="200"/>
              <w:jc w:val="left"/>
              <w:rPr>
                <w:color w:val="auto"/>
                <w:sz w:val="24"/>
              </w:rPr>
            </w:pPr>
            <w:r>
              <w:rPr>
                <w:color w:val="auto"/>
                <w:sz w:val="24"/>
              </w:rPr>
              <w:t>（1）尽量使分汊水流归并，形成单一主流；</w:t>
            </w:r>
          </w:p>
          <w:p>
            <w:pPr>
              <w:adjustRightInd w:val="0"/>
              <w:snapToGrid w:val="0"/>
              <w:spacing w:line="360" w:lineRule="auto"/>
              <w:ind w:firstLine="480" w:firstLineChars="200"/>
              <w:jc w:val="left"/>
              <w:rPr>
                <w:color w:val="auto"/>
                <w:sz w:val="24"/>
              </w:rPr>
            </w:pPr>
            <w:r>
              <w:rPr>
                <w:color w:val="auto"/>
                <w:sz w:val="24"/>
              </w:rPr>
              <w:t>（2）尽量利用现状主河槽，通过适当整理开挖措施，形成良好的易于控制的河势，来维持河道稳定。本次不改变原河床比降，主要对主河槽梳理，淤积较严重的边滩清理。本次设计选择河道深泓线为主河槽中心线，控制河宽的1/3为主河槽宽度，整理采用梯形断面，坡降采用1:4.0，整理结合基础前回填以及护岸等背坡回填一起进行，整理后尽可能使河道顺直，河槽与河岸保持稳定，满足边坡稳定要求。</w:t>
            </w:r>
          </w:p>
          <w:p>
            <w:pPr>
              <w:adjustRightInd w:val="0"/>
              <w:snapToGrid w:val="0"/>
              <w:spacing w:line="360" w:lineRule="auto"/>
              <w:ind w:firstLine="480" w:firstLineChars="200"/>
              <w:jc w:val="left"/>
              <w:rPr>
                <w:color w:val="auto"/>
                <w:sz w:val="24"/>
              </w:rPr>
            </w:pPr>
            <w:r>
              <w:rPr>
                <w:color w:val="auto"/>
                <w:sz w:val="24"/>
              </w:rPr>
              <w:t>根据本次工程勘察测量，工程广坪河段河床高低起伏，边滩淤积较严重，影响河道行洪能力，存在安全隐患，本次拟对广坪河进行疏浚整理，以提高原有河道的行洪能力，确保洪水畅通的标准。开挖砂石料就近用于堤身回填，余方用于堤后低洼处回填。本次疏浚河道长度共计3670m（其中1830m不予实施），开挖方量共计</w:t>
            </w:r>
            <w:r>
              <w:rPr>
                <w:rFonts w:hint="eastAsia"/>
                <w:color w:val="auto"/>
                <w:sz w:val="24"/>
                <w:lang w:val="en-US" w:eastAsia="zh-CN"/>
              </w:rPr>
              <w:t>20.31</w:t>
            </w:r>
            <w:r>
              <w:rPr>
                <w:color w:val="auto"/>
                <w:sz w:val="24"/>
              </w:rPr>
              <w:t>万m</w:t>
            </w:r>
            <w:r>
              <w:rPr>
                <w:color w:val="auto"/>
                <w:sz w:val="24"/>
                <w:vertAlign w:val="superscript"/>
              </w:rPr>
              <w:t>3</w:t>
            </w:r>
            <w:r>
              <w:rPr>
                <w:color w:val="auto"/>
                <w:sz w:val="24"/>
              </w:rPr>
              <w:t>（未计入不予实施段），全部用于堤身</w:t>
            </w:r>
            <w:r>
              <w:rPr>
                <w:rFonts w:hint="eastAsia"/>
                <w:color w:val="auto"/>
                <w:sz w:val="24"/>
                <w:lang w:eastAsia="zh-CN"/>
              </w:rPr>
              <w:t>、</w:t>
            </w:r>
            <w:r>
              <w:rPr>
                <w:rFonts w:hint="eastAsia"/>
                <w:color w:val="auto"/>
                <w:sz w:val="24"/>
                <w:lang w:val="en-US" w:eastAsia="zh-CN"/>
              </w:rPr>
              <w:t>堤后低洼处</w:t>
            </w:r>
            <w:r>
              <w:rPr>
                <w:color w:val="auto"/>
                <w:sz w:val="24"/>
              </w:rPr>
              <w:t>回填。</w:t>
            </w:r>
          </w:p>
          <w:p>
            <w:pPr>
              <w:adjustRightInd w:val="0"/>
              <w:snapToGrid w:val="0"/>
              <w:spacing w:line="360" w:lineRule="auto"/>
              <w:rPr>
                <w:b/>
                <w:bCs/>
                <w:color w:val="auto"/>
                <w:sz w:val="24"/>
              </w:rPr>
            </w:pPr>
            <w:r>
              <w:rPr>
                <w:b/>
                <w:bCs/>
                <w:color w:val="auto"/>
                <w:sz w:val="24"/>
              </w:rPr>
              <w:t>五、土石方平衡</w:t>
            </w:r>
          </w:p>
          <w:p>
            <w:pPr>
              <w:adjustRightInd w:val="0"/>
              <w:snapToGrid w:val="0"/>
              <w:spacing w:line="360" w:lineRule="auto"/>
              <w:ind w:firstLine="480" w:firstLineChars="200"/>
              <w:rPr>
                <w:rStyle w:val="43"/>
                <w:color w:val="auto"/>
                <w:kern w:val="0"/>
                <w:sz w:val="24"/>
              </w:rPr>
            </w:pPr>
            <w:bookmarkStart w:id="5" w:name="_Hlk124351055"/>
            <w:r>
              <w:rPr>
                <w:rStyle w:val="43"/>
                <w:color w:val="auto"/>
                <w:kern w:val="0"/>
                <w:sz w:val="24"/>
              </w:rPr>
              <w:t>本次工程清淤疏浚料共20.31万m³，绝大部分为砂卵石料，根据地勘资料可知，可作为堤身、堤后填筑料，本次利用16.73万m³，余下3.58万m³作为堤后低洼处回填。</w:t>
            </w:r>
          </w:p>
          <w:p>
            <w:pPr>
              <w:adjustRightInd w:val="0"/>
              <w:snapToGrid w:val="0"/>
              <w:spacing w:line="360" w:lineRule="auto"/>
              <w:ind w:firstLine="480" w:firstLineChars="200"/>
              <w:rPr>
                <w:rStyle w:val="43"/>
                <w:color w:val="auto"/>
                <w:kern w:val="0"/>
                <w:sz w:val="24"/>
              </w:rPr>
            </w:pPr>
            <w:r>
              <w:rPr>
                <w:rStyle w:val="43"/>
                <w:color w:val="auto"/>
                <w:kern w:val="0"/>
                <w:sz w:val="24"/>
              </w:rPr>
              <w:t>本工程土方开挖4.33万m³，护坡植草利用1.31万m³，余下3.02万m³作为堤后低洼处</w:t>
            </w:r>
            <w:r>
              <w:rPr>
                <w:rStyle w:val="43"/>
                <w:rFonts w:hint="eastAsia"/>
                <w:color w:val="auto"/>
                <w:kern w:val="0"/>
                <w:sz w:val="24"/>
                <w:lang w:eastAsia="zh-CN"/>
              </w:rPr>
              <w:t>（</w:t>
            </w:r>
            <w:r>
              <w:rPr>
                <w:rStyle w:val="43"/>
                <w:rFonts w:hint="eastAsia"/>
                <w:color w:val="auto"/>
                <w:kern w:val="0"/>
                <w:sz w:val="24"/>
                <w:lang w:val="en-US" w:eastAsia="zh-CN"/>
              </w:rPr>
              <w:t>部分区域堤后3m内</w:t>
            </w:r>
            <w:r>
              <w:rPr>
                <w:rStyle w:val="43"/>
                <w:rFonts w:hint="eastAsia"/>
                <w:color w:val="auto"/>
                <w:kern w:val="0"/>
                <w:sz w:val="24"/>
                <w:lang w:eastAsia="zh-CN"/>
              </w:rPr>
              <w:t>）</w:t>
            </w:r>
            <w:r>
              <w:rPr>
                <w:rStyle w:val="43"/>
                <w:color w:val="auto"/>
                <w:kern w:val="0"/>
                <w:sz w:val="24"/>
              </w:rPr>
              <w:t>回填利用。砂砾石开挖12.68万m³，全部可用作堤身填筑料。</w:t>
            </w:r>
          </w:p>
          <w:p>
            <w:pPr>
              <w:adjustRightInd w:val="0"/>
              <w:snapToGrid w:val="0"/>
              <w:spacing w:line="360" w:lineRule="auto"/>
              <w:ind w:firstLine="480" w:firstLineChars="200"/>
              <w:rPr>
                <w:color w:val="auto"/>
                <w:sz w:val="24"/>
              </w:rPr>
            </w:pPr>
            <w:r>
              <w:rPr>
                <w:rStyle w:val="43"/>
                <w:color w:val="auto"/>
                <w:kern w:val="0"/>
                <w:sz w:val="24"/>
              </w:rPr>
              <w:t>堤身及堤基砂卵石料回填总需用量30.72m³，基础开挖料利用13.99m³，清淤疏浚利用16.73m³。</w:t>
            </w:r>
          </w:p>
          <w:bookmarkEnd w:id="5"/>
          <w:p>
            <w:pPr>
              <w:adjustRightInd w:val="0"/>
              <w:snapToGrid w:val="0"/>
              <w:spacing w:line="360" w:lineRule="auto"/>
              <w:ind w:firstLine="480" w:firstLineChars="200"/>
              <w:rPr>
                <w:bCs/>
                <w:color w:val="auto"/>
                <w:sz w:val="24"/>
              </w:rPr>
            </w:pPr>
            <w:r>
              <w:rPr>
                <w:bCs/>
                <w:color w:val="auto"/>
                <w:sz w:val="24"/>
              </w:rPr>
              <w:t>土石方平衡见下表所示。</w:t>
            </w:r>
          </w:p>
          <w:p>
            <w:pPr>
              <w:pStyle w:val="63"/>
              <w:numPr>
                <w:ilvl w:val="0"/>
                <w:numId w:val="6"/>
              </w:numPr>
              <w:adjustRightInd w:val="0"/>
              <w:snapToGrid w:val="0"/>
              <w:rPr>
                <w:b/>
                <w:color w:val="auto"/>
                <w:szCs w:val="21"/>
              </w:rPr>
            </w:pPr>
            <w:r>
              <w:rPr>
                <w:b/>
                <w:color w:val="auto"/>
                <w:szCs w:val="21"/>
              </w:rPr>
              <w:t xml:space="preserve"> 工程土石方平衡表 </w:t>
            </w:r>
          </w:p>
          <w:tbl>
            <w:tblPr>
              <w:tblStyle w:val="36"/>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1271"/>
              <w:gridCol w:w="1091"/>
              <w:gridCol w:w="1093"/>
              <w:gridCol w:w="1465"/>
              <w:gridCol w:w="1618"/>
              <w:gridCol w:w="193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3" w:hRule="atLeast"/>
              </w:trPr>
              <w:tc>
                <w:tcPr>
                  <w:tcW w:w="750" w:type="pct"/>
                  <w:vAlign w:val="center"/>
                </w:tcPr>
                <w:p>
                  <w:pPr>
                    <w:widowControl/>
                    <w:jc w:val="center"/>
                    <w:textAlignment w:val="center"/>
                    <w:rPr>
                      <w:b/>
                      <w:bCs/>
                      <w:color w:val="auto"/>
                      <w:szCs w:val="21"/>
                    </w:rPr>
                  </w:pPr>
                  <w:r>
                    <w:rPr>
                      <w:b/>
                      <w:bCs/>
                      <w:color w:val="auto"/>
                      <w:kern w:val="0"/>
                      <w:szCs w:val="21"/>
                      <w:lang w:bidi="ar"/>
                    </w:rPr>
                    <w:t>序号</w:t>
                  </w:r>
                </w:p>
              </w:tc>
              <w:tc>
                <w:tcPr>
                  <w:tcW w:w="1289" w:type="pct"/>
                  <w:gridSpan w:val="2"/>
                  <w:vAlign w:val="center"/>
                </w:tcPr>
                <w:p>
                  <w:pPr>
                    <w:widowControl/>
                    <w:jc w:val="center"/>
                    <w:textAlignment w:val="center"/>
                    <w:rPr>
                      <w:b/>
                      <w:bCs/>
                      <w:color w:val="auto"/>
                      <w:szCs w:val="21"/>
                    </w:rPr>
                  </w:pPr>
                  <w:r>
                    <w:rPr>
                      <w:b/>
                      <w:bCs/>
                      <w:color w:val="auto"/>
                      <w:kern w:val="0"/>
                      <w:szCs w:val="21"/>
                      <w:lang w:bidi="ar"/>
                    </w:rPr>
                    <w:t>项目</w:t>
                  </w:r>
                </w:p>
              </w:tc>
              <w:tc>
                <w:tcPr>
                  <w:tcW w:w="865" w:type="pct"/>
                  <w:vAlign w:val="center"/>
                </w:tcPr>
                <w:p>
                  <w:pPr>
                    <w:widowControl/>
                    <w:jc w:val="center"/>
                    <w:textAlignment w:val="center"/>
                    <w:rPr>
                      <w:b/>
                      <w:bCs/>
                      <w:color w:val="auto"/>
                      <w:szCs w:val="21"/>
                    </w:rPr>
                  </w:pPr>
                  <w:r>
                    <w:rPr>
                      <w:b/>
                      <w:bCs/>
                      <w:color w:val="auto"/>
                      <w:kern w:val="0"/>
                      <w:szCs w:val="21"/>
                      <w:lang w:bidi="ar"/>
                    </w:rPr>
                    <w:t>开挖（万m³）</w:t>
                  </w:r>
                </w:p>
              </w:tc>
              <w:tc>
                <w:tcPr>
                  <w:tcW w:w="955" w:type="pct"/>
                  <w:vAlign w:val="center"/>
                </w:tcPr>
                <w:p>
                  <w:pPr>
                    <w:widowControl/>
                    <w:jc w:val="center"/>
                    <w:textAlignment w:val="center"/>
                    <w:rPr>
                      <w:b/>
                      <w:bCs/>
                      <w:color w:val="auto"/>
                      <w:szCs w:val="21"/>
                    </w:rPr>
                  </w:pPr>
                  <w:r>
                    <w:rPr>
                      <w:b/>
                      <w:bCs/>
                      <w:color w:val="auto"/>
                      <w:kern w:val="0"/>
                      <w:szCs w:val="21"/>
                      <w:lang w:bidi="ar"/>
                    </w:rPr>
                    <w:t>利用（万m³）</w:t>
                  </w:r>
                </w:p>
              </w:tc>
              <w:tc>
                <w:tcPr>
                  <w:tcW w:w="1139" w:type="pct"/>
                  <w:vAlign w:val="center"/>
                </w:tcPr>
                <w:p>
                  <w:pPr>
                    <w:widowControl/>
                    <w:jc w:val="center"/>
                    <w:textAlignment w:val="center"/>
                    <w:rPr>
                      <w:b/>
                      <w:bCs/>
                      <w:color w:val="auto"/>
                      <w:szCs w:val="21"/>
                    </w:rPr>
                  </w:pPr>
                  <w:r>
                    <w:rPr>
                      <w:rFonts w:hint="eastAsia"/>
                      <w:b/>
                      <w:bCs/>
                      <w:color w:val="auto"/>
                      <w:kern w:val="0"/>
                      <w:szCs w:val="21"/>
                      <w:lang w:val="en-US" w:eastAsia="zh-CN" w:bidi="ar"/>
                    </w:rPr>
                    <w:t>余方</w:t>
                  </w:r>
                  <w:r>
                    <w:rPr>
                      <w:b/>
                      <w:bCs/>
                      <w:color w:val="auto"/>
                      <w:kern w:val="0"/>
                      <w:szCs w:val="21"/>
                      <w:lang w:bidi="ar"/>
                    </w:rPr>
                    <w:t>（万m³），作为堤后低洼处回填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3" w:hRule="atLeast"/>
              </w:trPr>
              <w:tc>
                <w:tcPr>
                  <w:tcW w:w="750" w:type="pct"/>
                  <w:vAlign w:val="center"/>
                </w:tcPr>
                <w:p>
                  <w:pPr>
                    <w:widowControl/>
                    <w:jc w:val="center"/>
                    <w:textAlignment w:val="center"/>
                    <w:rPr>
                      <w:color w:val="auto"/>
                      <w:szCs w:val="21"/>
                    </w:rPr>
                  </w:pPr>
                  <w:r>
                    <w:rPr>
                      <w:color w:val="auto"/>
                      <w:kern w:val="0"/>
                      <w:szCs w:val="21"/>
                      <w:lang w:bidi="ar"/>
                    </w:rPr>
                    <w:t>1</w:t>
                  </w:r>
                </w:p>
              </w:tc>
              <w:tc>
                <w:tcPr>
                  <w:tcW w:w="1289" w:type="pct"/>
                  <w:gridSpan w:val="2"/>
                  <w:vAlign w:val="center"/>
                </w:tcPr>
                <w:p>
                  <w:pPr>
                    <w:widowControl/>
                    <w:jc w:val="center"/>
                    <w:textAlignment w:val="center"/>
                    <w:rPr>
                      <w:color w:val="auto"/>
                      <w:szCs w:val="21"/>
                    </w:rPr>
                  </w:pPr>
                  <w:r>
                    <w:rPr>
                      <w:color w:val="auto"/>
                      <w:kern w:val="0"/>
                      <w:szCs w:val="21"/>
                      <w:lang w:bidi="ar"/>
                    </w:rPr>
                    <w:t>土方</w:t>
                  </w:r>
                </w:p>
              </w:tc>
              <w:tc>
                <w:tcPr>
                  <w:tcW w:w="865" w:type="pct"/>
                  <w:vAlign w:val="center"/>
                </w:tcPr>
                <w:p>
                  <w:pPr>
                    <w:widowControl/>
                    <w:jc w:val="center"/>
                    <w:textAlignment w:val="center"/>
                    <w:rPr>
                      <w:color w:val="auto"/>
                      <w:szCs w:val="21"/>
                    </w:rPr>
                  </w:pPr>
                  <w:r>
                    <w:rPr>
                      <w:color w:val="auto"/>
                      <w:szCs w:val="21"/>
                    </w:rPr>
                    <w:t>4.33</w:t>
                  </w:r>
                </w:p>
              </w:tc>
              <w:tc>
                <w:tcPr>
                  <w:tcW w:w="955" w:type="pct"/>
                  <w:vAlign w:val="center"/>
                </w:tcPr>
                <w:p>
                  <w:pPr>
                    <w:widowControl/>
                    <w:jc w:val="center"/>
                    <w:textAlignment w:val="center"/>
                    <w:rPr>
                      <w:color w:val="auto"/>
                      <w:kern w:val="0"/>
                      <w:szCs w:val="21"/>
                      <w:lang w:bidi="ar"/>
                    </w:rPr>
                  </w:pPr>
                  <w:r>
                    <w:rPr>
                      <w:color w:val="auto"/>
                    </w:rPr>
                    <w:t>1.31</w:t>
                  </w:r>
                </w:p>
              </w:tc>
              <w:tc>
                <w:tcPr>
                  <w:tcW w:w="1139" w:type="pct"/>
                  <w:vAlign w:val="center"/>
                </w:tcPr>
                <w:p>
                  <w:pPr>
                    <w:widowControl/>
                    <w:jc w:val="center"/>
                    <w:textAlignment w:val="center"/>
                    <w:rPr>
                      <w:color w:val="auto"/>
                      <w:kern w:val="0"/>
                      <w:szCs w:val="21"/>
                      <w:lang w:bidi="ar"/>
                    </w:rPr>
                  </w:pPr>
                  <w:r>
                    <w:rPr>
                      <w:color w:val="auto"/>
                    </w:rPr>
                    <w:t>3.02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3" w:hRule="atLeast"/>
              </w:trPr>
              <w:tc>
                <w:tcPr>
                  <w:tcW w:w="750" w:type="pct"/>
                  <w:vAlign w:val="center"/>
                </w:tcPr>
                <w:p>
                  <w:pPr>
                    <w:widowControl/>
                    <w:jc w:val="center"/>
                    <w:textAlignment w:val="center"/>
                    <w:rPr>
                      <w:color w:val="auto"/>
                      <w:szCs w:val="21"/>
                    </w:rPr>
                  </w:pPr>
                  <w:r>
                    <w:rPr>
                      <w:color w:val="auto"/>
                      <w:kern w:val="0"/>
                      <w:szCs w:val="21"/>
                      <w:lang w:bidi="ar"/>
                    </w:rPr>
                    <w:t>2</w:t>
                  </w:r>
                </w:p>
              </w:tc>
              <w:tc>
                <w:tcPr>
                  <w:tcW w:w="1289" w:type="pct"/>
                  <w:gridSpan w:val="2"/>
                  <w:vAlign w:val="center"/>
                </w:tcPr>
                <w:p>
                  <w:pPr>
                    <w:widowControl/>
                    <w:jc w:val="center"/>
                    <w:textAlignment w:val="center"/>
                    <w:rPr>
                      <w:color w:val="auto"/>
                      <w:szCs w:val="21"/>
                    </w:rPr>
                  </w:pPr>
                  <w:r>
                    <w:rPr>
                      <w:color w:val="auto"/>
                      <w:kern w:val="0"/>
                      <w:szCs w:val="21"/>
                      <w:lang w:bidi="ar"/>
                    </w:rPr>
                    <w:t>砂砾石</w:t>
                  </w:r>
                </w:p>
              </w:tc>
              <w:tc>
                <w:tcPr>
                  <w:tcW w:w="865" w:type="pct"/>
                  <w:vAlign w:val="center"/>
                </w:tcPr>
                <w:p>
                  <w:pPr>
                    <w:widowControl/>
                    <w:jc w:val="center"/>
                    <w:textAlignment w:val="center"/>
                    <w:rPr>
                      <w:color w:val="auto"/>
                      <w:szCs w:val="21"/>
                    </w:rPr>
                  </w:pPr>
                  <w:r>
                    <w:rPr>
                      <w:color w:val="auto"/>
                    </w:rPr>
                    <w:t>12.68</w:t>
                  </w:r>
                </w:p>
              </w:tc>
              <w:tc>
                <w:tcPr>
                  <w:tcW w:w="955" w:type="pct"/>
                  <w:vAlign w:val="center"/>
                </w:tcPr>
                <w:p>
                  <w:pPr>
                    <w:widowControl/>
                    <w:jc w:val="center"/>
                    <w:textAlignment w:val="center"/>
                    <w:rPr>
                      <w:color w:val="auto"/>
                      <w:kern w:val="0"/>
                      <w:szCs w:val="21"/>
                      <w:lang w:bidi="ar"/>
                    </w:rPr>
                  </w:pPr>
                  <w:r>
                    <w:rPr>
                      <w:color w:val="auto"/>
                    </w:rPr>
                    <w:t>12.68</w:t>
                  </w:r>
                </w:p>
              </w:tc>
              <w:tc>
                <w:tcPr>
                  <w:tcW w:w="1139" w:type="pct"/>
                  <w:vAlign w:val="center"/>
                </w:tcPr>
                <w:p>
                  <w:pPr>
                    <w:widowControl/>
                    <w:jc w:val="center"/>
                    <w:textAlignment w:val="center"/>
                    <w:rPr>
                      <w:color w:val="auto"/>
                      <w:kern w:val="0"/>
                      <w:szCs w:val="21"/>
                      <w:lang w:bidi="ar"/>
                    </w:rPr>
                  </w:pPr>
                  <w:r>
                    <w:rPr>
                      <w:color w:val="auto"/>
                      <w:kern w:val="0"/>
                      <w:szCs w:val="21"/>
                      <w:lang w:bidi="ar"/>
                    </w:rPr>
                    <w:t xml:space="preserve">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3" w:hRule="atLeast"/>
              </w:trPr>
              <w:tc>
                <w:tcPr>
                  <w:tcW w:w="750" w:type="pct"/>
                  <w:vAlign w:val="center"/>
                </w:tcPr>
                <w:p>
                  <w:pPr>
                    <w:widowControl/>
                    <w:jc w:val="center"/>
                    <w:textAlignment w:val="center"/>
                    <w:rPr>
                      <w:color w:val="auto"/>
                      <w:szCs w:val="21"/>
                    </w:rPr>
                  </w:pPr>
                  <w:r>
                    <w:rPr>
                      <w:color w:val="auto"/>
                      <w:kern w:val="0"/>
                      <w:szCs w:val="21"/>
                      <w:lang w:bidi="ar"/>
                    </w:rPr>
                    <w:t>4</w:t>
                  </w:r>
                </w:p>
              </w:tc>
              <w:tc>
                <w:tcPr>
                  <w:tcW w:w="644" w:type="pct"/>
                  <w:vMerge w:val="restart"/>
                  <w:vAlign w:val="center"/>
                </w:tcPr>
                <w:p>
                  <w:pPr>
                    <w:widowControl/>
                    <w:jc w:val="center"/>
                    <w:textAlignment w:val="center"/>
                    <w:rPr>
                      <w:color w:val="auto"/>
                      <w:szCs w:val="21"/>
                    </w:rPr>
                  </w:pPr>
                  <w:r>
                    <w:rPr>
                      <w:color w:val="auto"/>
                      <w:kern w:val="0"/>
                      <w:szCs w:val="21"/>
                      <w:lang w:bidi="ar"/>
                    </w:rPr>
                    <w:t>清淤疏浚</w:t>
                  </w:r>
                </w:p>
              </w:tc>
              <w:tc>
                <w:tcPr>
                  <w:tcW w:w="645" w:type="pct"/>
                  <w:vAlign w:val="center"/>
                </w:tcPr>
                <w:p>
                  <w:pPr>
                    <w:widowControl/>
                    <w:jc w:val="center"/>
                    <w:textAlignment w:val="center"/>
                    <w:rPr>
                      <w:color w:val="auto"/>
                      <w:szCs w:val="21"/>
                    </w:rPr>
                  </w:pPr>
                  <w:r>
                    <w:rPr>
                      <w:color w:val="auto"/>
                      <w:kern w:val="0"/>
                      <w:szCs w:val="21"/>
                      <w:lang w:bidi="ar"/>
                    </w:rPr>
                    <w:t>土方</w:t>
                  </w:r>
                </w:p>
              </w:tc>
              <w:tc>
                <w:tcPr>
                  <w:tcW w:w="865" w:type="pct"/>
                  <w:vAlign w:val="center"/>
                </w:tcPr>
                <w:p>
                  <w:pPr>
                    <w:widowControl/>
                    <w:jc w:val="center"/>
                    <w:textAlignment w:val="center"/>
                    <w:rPr>
                      <w:color w:val="auto"/>
                      <w:szCs w:val="21"/>
                    </w:rPr>
                  </w:pPr>
                  <w:r>
                    <w:rPr>
                      <w:color w:val="auto"/>
                      <w:kern w:val="0"/>
                      <w:szCs w:val="21"/>
                      <w:lang w:bidi="ar"/>
                    </w:rPr>
                    <w:t>3.01</w:t>
                  </w:r>
                </w:p>
              </w:tc>
              <w:tc>
                <w:tcPr>
                  <w:tcW w:w="955" w:type="pct"/>
                  <w:vAlign w:val="center"/>
                </w:tcPr>
                <w:p>
                  <w:pPr>
                    <w:widowControl/>
                    <w:jc w:val="center"/>
                    <w:textAlignment w:val="center"/>
                    <w:rPr>
                      <w:color w:val="auto"/>
                      <w:kern w:val="0"/>
                      <w:szCs w:val="21"/>
                      <w:lang w:bidi="ar"/>
                    </w:rPr>
                  </w:pPr>
                  <w:r>
                    <w:rPr>
                      <w:color w:val="auto"/>
                      <w:kern w:val="0"/>
                      <w:szCs w:val="21"/>
                      <w:lang w:bidi="ar"/>
                    </w:rPr>
                    <w:t>0</w:t>
                  </w:r>
                </w:p>
              </w:tc>
              <w:tc>
                <w:tcPr>
                  <w:tcW w:w="1139" w:type="pct"/>
                  <w:vAlign w:val="center"/>
                </w:tcPr>
                <w:p>
                  <w:pPr>
                    <w:widowControl/>
                    <w:jc w:val="center"/>
                    <w:textAlignment w:val="center"/>
                    <w:rPr>
                      <w:color w:val="auto"/>
                      <w:kern w:val="0"/>
                      <w:szCs w:val="21"/>
                      <w:lang w:bidi="ar"/>
                    </w:rPr>
                  </w:pPr>
                  <w:r>
                    <w:rPr>
                      <w:color w:val="auto"/>
                      <w:kern w:val="0"/>
                      <w:szCs w:val="21"/>
                      <w:lang w:bidi="ar"/>
                    </w:rPr>
                    <w:t>3.01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3" w:hRule="atLeast"/>
              </w:trPr>
              <w:tc>
                <w:tcPr>
                  <w:tcW w:w="750" w:type="pct"/>
                  <w:vAlign w:val="center"/>
                </w:tcPr>
                <w:p>
                  <w:pPr>
                    <w:widowControl/>
                    <w:jc w:val="center"/>
                    <w:textAlignment w:val="center"/>
                    <w:rPr>
                      <w:color w:val="auto"/>
                      <w:szCs w:val="21"/>
                    </w:rPr>
                  </w:pPr>
                  <w:r>
                    <w:rPr>
                      <w:color w:val="auto"/>
                      <w:kern w:val="0"/>
                      <w:szCs w:val="21"/>
                      <w:lang w:bidi="ar"/>
                    </w:rPr>
                    <w:t>5</w:t>
                  </w:r>
                </w:p>
              </w:tc>
              <w:tc>
                <w:tcPr>
                  <w:tcW w:w="644" w:type="pct"/>
                  <w:vMerge w:val="continue"/>
                  <w:vAlign w:val="center"/>
                </w:tcPr>
                <w:p>
                  <w:pPr>
                    <w:jc w:val="center"/>
                    <w:rPr>
                      <w:color w:val="auto"/>
                      <w:szCs w:val="21"/>
                    </w:rPr>
                  </w:pPr>
                </w:p>
              </w:tc>
              <w:tc>
                <w:tcPr>
                  <w:tcW w:w="645" w:type="pct"/>
                  <w:vAlign w:val="center"/>
                </w:tcPr>
                <w:p>
                  <w:pPr>
                    <w:widowControl/>
                    <w:jc w:val="center"/>
                    <w:textAlignment w:val="center"/>
                    <w:rPr>
                      <w:color w:val="auto"/>
                      <w:szCs w:val="21"/>
                    </w:rPr>
                  </w:pPr>
                  <w:r>
                    <w:rPr>
                      <w:color w:val="auto"/>
                      <w:kern w:val="0"/>
                      <w:szCs w:val="21"/>
                      <w:lang w:bidi="ar"/>
                    </w:rPr>
                    <w:t>砂卵石</w:t>
                  </w:r>
                </w:p>
              </w:tc>
              <w:tc>
                <w:tcPr>
                  <w:tcW w:w="865" w:type="pct"/>
                  <w:vAlign w:val="center"/>
                </w:tcPr>
                <w:p>
                  <w:pPr>
                    <w:widowControl/>
                    <w:jc w:val="center"/>
                    <w:textAlignment w:val="center"/>
                    <w:rPr>
                      <w:color w:val="auto"/>
                      <w:szCs w:val="21"/>
                    </w:rPr>
                  </w:pPr>
                  <w:r>
                    <w:rPr>
                      <w:color w:val="auto"/>
                      <w:kern w:val="0"/>
                      <w:szCs w:val="21"/>
                      <w:lang w:bidi="ar"/>
                    </w:rPr>
                    <w:t>17.3</w:t>
                  </w:r>
                </w:p>
              </w:tc>
              <w:tc>
                <w:tcPr>
                  <w:tcW w:w="955" w:type="pct"/>
                  <w:vAlign w:val="center"/>
                </w:tcPr>
                <w:p>
                  <w:pPr>
                    <w:widowControl/>
                    <w:jc w:val="center"/>
                    <w:textAlignment w:val="center"/>
                    <w:rPr>
                      <w:color w:val="auto"/>
                    </w:rPr>
                  </w:pPr>
                  <w:r>
                    <w:rPr>
                      <w:color w:val="auto"/>
                    </w:rPr>
                    <w:t>16.73</w:t>
                  </w:r>
                </w:p>
              </w:tc>
              <w:tc>
                <w:tcPr>
                  <w:tcW w:w="1139" w:type="pct"/>
                  <w:vAlign w:val="center"/>
                </w:tcPr>
                <w:p>
                  <w:pPr>
                    <w:widowControl/>
                    <w:jc w:val="center"/>
                    <w:textAlignment w:val="center"/>
                    <w:rPr>
                      <w:color w:val="auto"/>
                      <w:kern w:val="0"/>
                      <w:szCs w:val="21"/>
                      <w:lang w:bidi="ar"/>
                    </w:rPr>
                  </w:pPr>
                  <w:r>
                    <w:rPr>
                      <w:color w:val="auto"/>
                      <w:kern w:val="0"/>
                      <w:szCs w:val="21"/>
                      <w:lang w:bidi="ar"/>
                    </w:rPr>
                    <w:t>0.57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3" w:hRule="atLeast"/>
              </w:trPr>
              <w:tc>
                <w:tcPr>
                  <w:tcW w:w="750" w:type="pct"/>
                  <w:vAlign w:val="center"/>
                </w:tcPr>
                <w:p>
                  <w:pPr>
                    <w:widowControl/>
                    <w:jc w:val="center"/>
                    <w:textAlignment w:val="center"/>
                    <w:rPr>
                      <w:color w:val="auto"/>
                      <w:szCs w:val="21"/>
                    </w:rPr>
                  </w:pPr>
                  <w:r>
                    <w:rPr>
                      <w:color w:val="auto"/>
                      <w:kern w:val="0"/>
                      <w:szCs w:val="21"/>
                      <w:lang w:bidi="ar"/>
                    </w:rPr>
                    <w:t>6</w:t>
                  </w:r>
                </w:p>
              </w:tc>
              <w:tc>
                <w:tcPr>
                  <w:tcW w:w="1289" w:type="pct"/>
                  <w:gridSpan w:val="2"/>
                  <w:vAlign w:val="center"/>
                </w:tcPr>
                <w:p>
                  <w:pPr>
                    <w:widowControl/>
                    <w:jc w:val="center"/>
                    <w:textAlignment w:val="center"/>
                    <w:rPr>
                      <w:color w:val="auto"/>
                      <w:szCs w:val="21"/>
                    </w:rPr>
                  </w:pPr>
                  <w:r>
                    <w:rPr>
                      <w:color w:val="auto"/>
                      <w:kern w:val="0"/>
                      <w:szCs w:val="21"/>
                      <w:lang w:bidi="ar"/>
                    </w:rPr>
                    <w:t>合计</w:t>
                  </w:r>
                </w:p>
              </w:tc>
              <w:tc>
                <w:tcPr>
                  <w:tcW w:w="865" w:type="pct"/>
                  <w:vAlign w:val="center"/>
                </w:tcPr>
                <w:p>
                  <w:pPr>
                    <w:widowControl/>
                    <w:jc w:val="center"/>
                    <w:textAlignment w:val="center"/>
                    <w:rPr>
                      <w:color w:val="auto"/>
                      <w:szCs w:val="21"/>
                    </w:rPr>
                  </w:pPr>
                  <w:r>
                    <w:rPr>
                      <w:color w:val="auto"/>
                      <w:kern w:val="0"/>
                      <w:szCs w:val="21"/>
                      <w:lang w:bidi="ar"/>
                    </w:rPr>
                    <w:t>37.32</w:t>
                  </w:r>
                </w:p>
              </w:tc>
              <w:tc>
                <w:tcPr>
                  <w:tcW w:w="955" w:type="pct"/>
                  <w:vAlign w:val="center"/>
                </w:tcPr>
                <w:p>
                  <w:pPr>
                    <w:widowControl/>
                    <w:jc w:val="center"/>
                    <w:textAlignment w:val="center"/>
                    <w:rPr>
                      <w:color w:val="auto"/>
                      <w:kern w:val="0"/>
                      <w:szCs w:val="21"/>
                      <w:lang w:bidi="ar"/>
                    </w:rPr>
                  </w:pPr>
                  <w:r>
                    <w:rPr>
                      <w:color w:val="auto"/>
                      <w:kern w:val="0"/>
                      <w:szCs w:val="21"/>
                      <w:lang w:bidi="ar"/>
                    </w:rPr>
                    <w:t>30.72</w:t>
                  </w:r>
                </w:p>
              </w:tc>
              <w:tc>
                <w:tcPr>
                  <w:tcW w:w="1139" w:type="pct"/>
                  <w:vAlign w:val="center"/>
                </w:tcPr>
                <w:p>
                  <w:pPr>
                    <w:widowControl/>
                    <w:jc w:val="center"/>
                    <w:textAlignment w:val="center"/>
                    <w:rPr>
                      <w:color w:val="auto"/>
                      <w:kern w:val="0"/>
                      <w:szCs w:val="21"/>
                      <w:lang w:bidi="ar"/>
                    </w:rPr>
                  </w:pPr>
                  <w:r>
                    <w:rPr>
                      <w:color w:val="auto"/>
                      <w:kern w:val="0"/>
                      <w:szCs w:val="21"/>
                      <w:lang w:bidi="ar"/>
                    </w:rPr>
                    <w:t>6.6</w:t>
                  </w:r>
                </w:p>
              </w:tc>
            </w:tr>
          </w:tbl>
          <w:p>
            <w:pPr>
              <w:adjustRightInd w:val="0"/>
              <w:snapToGrid w:val="0"/>
              <w:spacing w:line="360" w:lineRule="auto"/>
              <w:ind w:firstLine="482" w:firstLineChars="200"/>
              <w:rPr>
                <w:color w:val="auto"/>
                <w:sz w:val="24"/>
              </w:rPr>
            </w:pPr>
            <w:r>
              <w:rPr>
                <w:b/>
                <w:bCs/>
                <w:color w:val="auto"/>
                <w:sz w:val="24"/>
              </w:rPr>
              <w:t>临时堆料场容积可行性：</w:t>
            </w:r>
            <w:r>
              <w:rPr>
                <w:color w:val="auto"/>
                <w:sz w:val="24"/>
              </w:rPr>
              <w:t>本项目设置2处临时堆料场，其中1处用于临时堆存河道疏挖产生的可利用清淤料，1处用于施工表土临时堆放，总共占地面积约4500m</w:t>
            </w:r>
            <w:r>
              <w:rPr>
                <w:color w:val="auto"/>
                <w:sz w:val="24"/>
                <w:vertAlign w:val="superscript"/>
              </w:rPr>
              <w:t>2</w:t>
            </w:r>
            <w:r>
              <w:rPr>
                <w:color w:val="auto"/>
                <w:sz w:val="24"/>
              </w:rPr>
              <w:t>。堆高5m，按照锥体公式，可堆存量为0.75</w:t>
            </w:r>
            <w:r>
              <w:rPr>
                <w:color w:val="auto"/>
                <w:kern w:val="0"/>
                <w:szCs w:val="21"/>
              </w:rPr>
              <w:t>万m³</w:t>
            </w:r>
            <w:r>
              <w:rPr>
                <w:color w:val="auto"/>
                <w:sz w:val="24"/>
              </w:rPr>
              <w:t>，开挖与回填时间均持续3.5月，临时堆料场可最多暂存2天开挖量，开挖过程采用边开挖边回填的方式，临时堆料场满足堆存需求。</w:t>
            </w:r>
          </w:p>
          <w:p>
            <w:pPr>
              <w:numPr>
                <w:ilvl w:val="0"/>
                <w:numId w:val="7"/>
              </w:numPr>
              <w:adjustRightInd w:val="0"/>
              <w:snapToGrid w:val="0"/>
              <w:spacing w:line="360" w:lineRule="auto"/>
              <w:rPr>
                <w:b/>
                <w:bCs/>
                <w:color w:val="auto"/>
                <w:sz w:val="24"/>
              </w:rPr>
            </w:pPr>
            <w:r>
              <w:rPr>
                <w:b/>
                <w:bCs/>
                <w:color w:val="auto"/>
                <w:sz w:val="24"/>
              </w:rPr>
              <w:t>工程建设征地和移民安置</w:t>
            </w:r>
          </w:p>
          <w:p>
            <w:pPr>
              <w:adjustRightInd w:val="0"/>
              <w:snapToGrid w:val="0"/>
              <w:spacing w:line="360" w:lineRule="auto"/>
              <w:ind w:firstLine="480" w:firstLineChars="200"/>
              <w:rPr>
                <w:color w:val="auto"/>
                <w:sz w:val="24"/>
              </w:rPr>
            </w:pPr>
            <w:r>
              <w:rPr>
                <w:color w:val="auto"/>
                <w:sz w:val="24"/>
              </w:rPr>
              <w:t>根据</w:t>
            </w:r>
            <w:r>
              <w:rPr>
                <w:rFonts w:hint="eastAsia"/>
                <w:color w:val="auto"/>
                <w:sz w:val="24"/>
                <w:lang w:val="en-US" w:eastAsia="zh-CN"/>
              </w:rPr>
              <w:t>施工单位统计</w:t>
            </w:r>
            <w:r>
              <w:rPr>
                <w:color w:val="auto"/>
                <w:sz w:val="24"/>
              </w:rPr>
              <w:t>，工程建设占用土地总面积209.6亩，其中永久工程区156.89亩，临时工程区52.71亩，全部为集体经济组织所有。建设征收（用）地中有耕地44.6亩，其中永久占用耕地38.5亩，临时占用耕地6.1亩；林地7.28亩，其中永久占林地3.78亩，临时占用林地3.5亩；水域及水利设施用地157.72亩，其中永久占用水域及水利设施用地114.61亩，临时占用43.11亩。</w:t>
            </w:r>
          </w:p>
          <w:p>
            <w:pPr>
              <w:adjustRightInd w:val="0"/>
              <w:snapToGrid w:val="0"/>
              <w:spacing w:line="360" w:lineRule="auto"/>
              <w:ind w:firstLine="480" w:firstLineChars="200"/>
              <w:rPr>
                <w:color w:val="auto"/>
              </w:rPr>
            </w:pPr>
            <w:r>
              <w:rPr>
                <w:color w:val="auto"/>
                <w:sz w:val="24"/>
              </w:rPr>
              <w:t>工程建设征地详见下表。</w:t>
            </w:r>
          </w:p>
          <w:p>
            <w:pPr>
              <w:pStyle w:val="63"/>
              <w:numPr>
                <w:ilvl w:val="0"/>
                <w:numId w:val="6"/>
              </w:numPr>
              <w:adjustRightInd w:val="0"/>
              <w:snapToGrid w:val="0"/>
              <w:rPr>
                <w:b/>
                <w:color w:val="auto"/>
                <w:szCs w:val="21"/>
              </w:rPr>
            </w:pPr>
            <w:r>
              <w:rPr>
                <w:b/>
                <w:color w:val="auto"/>
                <w:szCs w:val="21"/>
              </w:rPr>
              <w:t>工程建设征地面积</w:t>
            </w:r>
          </w:p>
          <w:tbl>
            <w:tblPr>
              <w:tblStyle w:val="36"/>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1102"/>
              <w:gridCol w:w="2240"/>
              <w:gridCol w:w="1613"/>
              <w:gridCol w:w="1378"/>
              <w:gridCol w:w="213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b/>
                      <w:bCs/>
                      <w:color w:val="auto"/>
                      <w:kern w:val="0"/>
                      <w:szCs w:val="21"/>
                      <w:lang w:bidi="ar"/>
                    </w:rPr>
                  </w:pPr>
                  <w:r>
                    <w:rPr>
                      <w:b/>
                      <w:bCs/>
                      <w:color w:val="auto"/>
                      <w:kern w:val="0"/>
                      <w:szCs w:val="21"/>
                      <w:lang w:bidi="ar"/>
                    </w:rPr>
                    <w:t>序号</w:t>
                  </w:r>
                </w:p>
              </w:tc>
              <w:tc>
                <w:tcPr>
                  <w:tcW w:w="1322" w:type="pct"/>
                  <w:vAlign w:val="center"/>
                </w:tcPr>
                <w:p>
                  <w:pPr>
                    <w:widowControl/>
                    <w:jc w:val="center"/>
                    <w:textAlignment w:val="center"/>
                    <w:rPr>
                      <w:b/>
                      <w:bCs/>
                      <w:color w:val="auto"/>
                      <w:kern w:val="0"/>
                      <w:szCs w:val="21"/>
                      <w:lang w:bidi="ar"/>
                    </w:rPr>
                  </w:pPr>
                  <w:r>
                    <w:rPr>
                      <w:b/>
                      <w:bCs/>
                      <w:color w:val="auto"/>
                      <w:kern w:val="0"/>
                      <w:szCs w:val="21"/>
                      <w:lang w:bidi="ar"/>
                    </w:rPr>
                    <w:t>项目</w:t>
                  </w:r>
                </w:p>
              </w:tc>
              <w:tc>
                <w:tcPr>
                  <w:tcW w:w="952" w:type="pct"/>
                  <w:vAlign w:val="center"/>
                </w:tcPr>
                <w:p>
                  <w:pPr>
                    <w:widowControl/>
                    <w:jc w:val="center"/>
                    <w:textAlignment w:val="center"/>
                    <w:rPr>
                      <w:b/>
                      <w:bCs/>
                      <w:color w:val="auto"/>
                      <w:kern w:val="0"/>
                      <w:szCs w:val="21"/>
                      <w:lang w:bidi="ar"/>
                    </w:rPr>
                  </w:pPr>
                  <w:r>
                    <w:rPr>
                      <w:b/>
                      <w:bCs/>
                      <w:color w:val="auto"/>
                      <w:kern w:val="0"/>
                      <w:szCs w:val="21"/>
                      <w:lang w:bidi="ar"/>
                    </w:rPr>
                    <w:t>单位</w:t>
                  </w:r>
                </w:p>
              </w:tc>
              <w:tc>
                <w:tcPr>
                  <w:tcW w:w="813" w:type="pct"/>
                  <w:vAlign w:val="center"/>
                </w:tcPr>
                <w:p>
                  <w:pPr>
                    <w:widowControl/>
                    <w:jc w:val="center"/>
                    <w:textAlignment w:val="center"/>
                    <w:rPr>
                      <w:b/>
                      <w:bCs/>
                      <w:color w:val="auto"/>
                      <w:kern w:val="0"/>
                      <w:szCs w:val="21"/>
                      <w:lang w:bidi="ar"/>
                    </w:rPr>
                  </w:pPr>
                  <w:r>
                    <w:rPr>
                      <w:b/>
                      <w:bCs/>
                      <w:color w:val="auto"/>
                      <w:kern w:val="0"/>
                      <w:szCs w:val="21"/>
                      <w:lang w:bidi="ar"/>
                    </w:rPr>
                    <w:t>总面积</w:t>
                  </w:r>
                </w:p>
              </w:tc>
              <w:tc>
                <w:tcPr>
                  <w:tcW w:w="1261" w:type="pct"/>
                  <w:vAlign w:val="center"/>
                </w:tcPr>
                <w:p>
                  <w:pPr>
                    <w:widowControl/>
                    <w:jc w:val="center"/>
                    <w:textAlignment w:val="center"/>
                    <w:rPr>
                      <w:b/>
                      <w:bCs/>
                      <w:color w:val="auto"/>
                      <w:kern w:val="0"/>
                      <w:szCs w:val="21"/>
                      <w:lang w:bidi="ar"/>
                    </w:rPr>
                  </w:pPr>
                  <w:r>
                    <w:rPr>
                      <w:b/>
                      <w:bCs/>
                      <w:color w:val="auto"/>
                      <w:kern w:val="0"/>
                      <w:szCs w:val="21"/>
                      <w:lang w:bidi="ar"/>
                    </w:rPr>
                    <w:t>本次征收面积</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一</w:t>
                  </w:r>
                </w:p>
              </w:tc>
              <w:tc>
                <w:tcPr>
                  <w:tcW w:w="1322" w:type="pct"/>
                  <w:vAlign w:val="center"/>
                </w:tcPr>
                <w:p>
                  <w:pPr>
                    <w:widowControl/>
                    <w:jc w:val="center"/>
                    <w:textAlignment w:val="center"/>
                    <w:rPr>
                      <w:color w:val="auto"/>
                      <w:kern w:val="0"/>
                      <w:szCs w:val="21"/>
                      <w:lang w:bidi="ar"/>
                    </w:rPr>
                  </w:pPr>
                  <w:r>
                    <w:rPr>
                      <w:color w:val="auto"/>
                      <w:kern w:val="0"/>
                      <w:szCs w:val="21"/>
                      <w:lang w:bidi="ar"/>
                    </w:rPr>
                    <w:t>永久占地</w:t>
                  </w:r>
                </w:p>
              </w:tc>
              <w:tc>
                <w:tcPr>
                  <w:tcW w:w="952" w:type="pct"/>
                  <w:vAlign w:val="center"/>
                </w:tcPr>
                <w:p>
                  <w:pPr>
                    <w:widowControl/>
                    <w:jc w:val="center"/>
                    <w:textAlignment w:val="center"/>
                    <w:rPr>
                      <w:color w:val="auto"/>
                      <w:kern w:val="0"/>
                      <w:szCs w:val="21"/>
                      <w:lang w:bidi="ar"/>
                    </w:rPr>
                  </w:pPr>
                </w:p>
              </w:tc>
              <w:tc>
                <w:tcPr>
                  <w:tcW w:w="813" w:type="pct"/>
                  <w:vAlign w:val="center"/>
                </w:tcPr>
                <w:p>
                  <w:pPr>
                    <w:widowControl/>
                    <w:jc w:val="center"/>
                    <w:textAlignment w:val="center"/>
                    <w:rPr>
                      <w:color w:val="auto"/>
                      <w:kern w:val="0"/>
                      <w:szCs w:val="21"/>
                      <w:lang w:bidi="ar"/>
                    </w:rPr>
                  </w:pPr>
                  <w:r>
                    <w:rPr>
                      <w:color w:val="auto"/>
                      <w:kern w:val="0"/>
                      <w:szCs w:val="21"/>
                      <w:lang w:bidi="ar"/>
                    </w:rPr>
                    <w:t>156.89</w:t>
                  </w:r>
                </w:p>
              </w:tc>
              <w:tc>
                <w:tcPr>
                  <w:tcW w:w="1261" w:type="pct"/>
                  <w:vAlign w:val="center"/>
                </w:tcPr>
                <w:p>
                  <w:pPr>
                    <w:widowControl/>
                    <w:jc w:val="center"/>
                    <w:textAlignment w:val="center"/>
                    <w:rPr>
                      <w:color w:val="auto"/>
                      <w:kern w:val="0"/>
                      <w:szCs w:val="21"/>
                      <w:lang w:bidi="ar"/>
                    </w:rPr>
                  </w:pPr>
                  <w:r>
                    <w:rPr>
                      <w:color w:val="auto"/>
                      <w:kern w:val="0"/>
                      <w:szCs w:val="21"/>
                      <w:lang w:bidi="ar"/>
                    </w:rPr>
                    <w:t>156.89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1</w:t>
                  </w:r>
                </w:p>
              </w:tc>
              <w:tc>
                <w:tcPr>
                  <w:tcW w:w="1322" w:type="pct"/>
                  <w:vAlign w:val="center"/>
                </w:tcPr>
                <w:p>
                  <w:pPr>
                    <w:widowControl/>
                    <w:jc w:val="center"/>
                    <w:textAlignment w:val="center"/>
                    <w:rPr>
                      <w:color w:val="auto"/>
                      <w:kern w:val="0"/>
                      <w:szCs w:val="21"/>
                      <w:lang w:bidi="ar"/>
                    </w:rPr>
                  </w:pPr>
                  <w:r>
                    <w:rPr>
                      <w:color w:val="auto"/>
                      <w:kern w:val="0"/>
                      <w:szCs w:val="21"/>
                      <w:lang w:bidi="ar"/>
                    </w:rPr>
                    <w:t>季节性耕地</w:t>
                  </w:r>
                </w:p>
              </w:tc>
              <w:tc>
                <w:tcPr>
                  <w:tcW w:w="952" w:type="pct"/>
                  <w:vAlign w:val="center"/>
                </w:tcPr>
                <w:p>
                  <w:pPr>
                    <w:widowControl/>
                    <w:jc w:val="center"/>
                    <w:textAlignment w:val="center"/>
                    <w:rPr>
                      <w:color w:val="auto"/>
                      <w:kern w:val="0"/>
                      <w:szCs w:val="21"/>
                      <w:lang w:bidi="ar"/>
                    </w:rPr>
                  </w:pPr>
                  <w:r>
                    <w:rPr>
                      <w:color w:val="auto"/>
                      <w:kern w:val="0"/>
                      <w:szCs w:val="21"/>
                      <w:lang w:bidi="ar"/>
                    </w:rPr>
                    <w:t>亩</w:t>
                  </w:r>
                </w:p>
              </w:tc>
              <w:tc>
                <w:tcPr>
                  <w:tcW w:w="813" w:type="pct"/>
                  <w:vAlign w:val="center"/>
                </w:tcPr>
                <w:p>
                  <w:pPr>
                    <w:widowControl/>
                    <w:jc w:val="center"/>
                    <w:textAlignment w:val="center"/>
                    <w:rPr>
                      <w:color w:val="auto"/>
                      <w:kern w:val="0"/>
                      <w:szCs w:val="21"/>
                      <w:lang w:bidi="ar"/>
                    </w:rPr>
                  </w:pPr>
                  <w:r>
                    <w:rPr>
                      <w:color w:val="auto"/>
                      <w:kern w:val="0"/>
                      <w:szCs w:val="21"/>
                      <w:lang w:bidi="ar"/>
                    </w:rPr>
                    <w:t>38.5</w:t>
                  </w:r>
                </w:p>
              </w:tc>
              <w:tc>
                <w:tcPr>
                  <w:tcW w:w="1261" w:type="pct"/>
                  <w:vAlign w:val="center"/>
                </w:tcPr>
                <w:p>
                  <w:pPr>
                    <w:widowControl/>
                    <w:jc w:val="center"/>
                    <w:textAlignment w:val="center"/>
                    <w:rPr>
                      <w:color w:val="auto"/>
                      <w:kern w:val="0"/>
                      <w:szCs w:val="21"/>
                      <w:lang w:bidi="ar"/>
                    </w:rPr>
                  </w:pPr>
                  <w:r>
                    <w:rPr>
                      <w:color w:val="auto"/>
                      <w:kern w:val="0"/>
                      <w:szCs w:val="21"/>
                      <w:lang w:bidi="ar"/>
                    </w:rPr>
                    <w:t>38.5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2</w:t>
                  </w:r>
                </w:p>
              </w:tc>
              <w:tc>
                <w:tcPr>
                  <w:tcW w:w="1322" w:type="pct"/>
                  <w:vAlign w:val="center"/>
                </w:tcPr>
                <w:p>
                  <w:pPr>
                    <w:widowControl/>
                    <w:jc w:val="center"/>
                    <w:textAlignment w:val="center"/>
                    <w:rPr>
                      <w:color w:val="auto"/>
                      <w:kern w:val="0"/>
                      <w:szCs w:val="21"/>
                      <w:lang w:bidi="ar"/>
                    </w:rPr>
                  </w:pPr>
                  <w:r>
                    <w:rPr>
                      <w:color w:val="auto"/>
                      <w:kern w:val="0"/>
                      <w:szCs w:val="21"/>
                      <w:lang w:bidi="ar"/>
                    </w:rPr>
                    <w:t>林地</w:t>
                  </w:r>
                </w:p>
              </w:tc>
              <w:tc>
                <w:tcPr>
                  <w:tcW w:w="952" w:type="pct"/>
                  <w:vAlign w:val="center"/>
                </w:tcPr>
                <w:p>
                  <w:pPr>
                    <w:widowControl/>
                    <w:jc w:val="center"/>
                    <w:textAlignment w:val="center"/>
                    <w:rPr>
                      <w:color w:val="auto"/>
                      <w:kern w:val="0"/>
                      <w:szCs w:val="21"/>
                      <w:lang w:bidi="ar"/>
                    </w:rPr>
                  </w:pPr>
                  <w:r>
                    <w:rPr>
                      <w:color w:val="auto"/>
                      <w:kern w:val="0"/>
                      <w:szCs w:val="21"/>
                      <w:lang w:bidi="ar"/>
                    </w:rPr>
                    <w:t>亩</w:t>
                  </w:r>
                </w:p>
              </w:tc>
              <w:tc>
                <w:tcPr>
                  <w:tcW w:w="813" w:type="pct"/>
                  <w:vAlign w:val="center"/>
                </w:tcPr>
                <w:p>
                  <w:pPr>
                    <w:widowControl/>
                    <w:jc w:val="center"/>
                    <w:textAlignment w:val="center"/>
                    <w:rPr>
                      <w:color w:val="auto"/>
                      <w:kern w:val="0"/>
                      <w:szCs w:val="21"/>
                      <w:lang w:bidi="ar"/>
                    </w:rPr>
                  </w:pPr>
                  <w:r>
                    <w:rPr>
                      <w:color w:val="auto"/>
                      <w:kern w:val="0"/>
                      <w:szCs w:val="21"/>
                      <w:lang w:bidi="ar"/>
                    </w:rPr>
                    <w:t>3.78</w:t>
                  </w:r>
                </w:p>
              </w:tc>
              <w:tc>
                <w:tcPr>
                  <w:tcW w:w="1261" w:type="pct"/>
                  <w:vAlign w:val="center"/>
                </w:tcPr>
                <w:p>
                  <w:pPr>
                    <w:widowControl/>
                    <w:jc w:val="center"/>
                    <w:textAlignment w:val="center"/>
                    <w:rPr>
                      <w:color w:val="auto"/>
                      <w:kern w:val="0"/>
                      <w:szCs w:val="21"/>
                      <w:lang w:bidi="ar"/>
                    </w:rPr>
                  </w:pPr>
                  <w:r>
                    <w:rPr>
                      <w:color w:val="auto"/>
                      <w:kern w:val="0"/>
                      <w:szCs w:val="21"/>
                      <w:lang w:bidi="ar"/>
                    </w:rPr>
                    <w:t>3.78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3</w:t>
                  </w:r>
                </w:p>
              </w:tc>
              <w:tc>
                <w:tcPr>
                  <w:tcW w:w="1322" w:type="pct"/>
                  <w:vAlign w:val="center"/>
                </w:tcPr>
                <w:p>
                  <w:pPr>
                    <w:widowControl/>
                    <w:jc w:val="center"/>
                    <w:textAlignment w:val="center"/>
                    <w:rPr>
                      <w:color w:val="auto"/>
                      <w:kern w:val="0"/>
                      <w:szCs w:val="21"/>
                      <w:lang w:bidi="ar"/>
                    </w:rPr>
                  </w:pPr>
                  <w:r>
                    <w:rPr>
                      <w:color w:val="auto"/>
                      <w:kern w:val="0"/>
                      <w:szCs w:val="21"/>
                      <w:lang w:bidi="ar"/>
                    </w:rPr>
                    <w:t>水域及水利设施用地</w:t>
                  </w:r>
                </w:p>
              </w:tc>
              <w:tc>
                <w:tcPr>
                  <w:tcW w:w="952" w:type="pct"/>
                  <w:vAlign w:val="center"/>
                </w:tcPr>
                <w:p>
                  <w:pPr>
                    <w:widowControl/>
                    <w:jc w:val="center"/>
                    <w:textAlignment w:val="center"/>
                    <w:rPr>
                      <w:color w:val="auto"/>
                      <w:kern w:val="0"/>
                      <w:szCs w:val="21"/>
                      <w:lang w:bidi="ar"/>
                    </w:rPr>
                  </w:pPr>
                  <w:r>
                    <w:rPr>
                      <w:color w:val="auto"/>
                      <w:kern w:val="0"/>
                      <w:szCs w:val="21"/>
                      <w:lang w:bidi="ar"/>
                    </w:rPr>
                    <w:t>亩</w:t>
                  </w:r>
                </w:p>
              </w:tc>
              <w:tc>
                <w:tcPr>
                  <w:tcW w:w="813" w:type="pct"/>
                  <w:vAlign w:val="center"/>
                </w:tcPr>
                <w:p>
                  <w:pPr>
                    <w:widowControl/>
                    <w:jc w:val="center"/>
                    <w:textAlignment w:val="center"/>
                    <w:rPr>
                      <w:color w:val="auto"/>
                      <w:kern w:val="0"/>
                      <w:szCs w:val="21"/>
                      <w:lang w:bidi="ar"/>
                    </w:rPr>
                  </w:pPr>
                  <w:r>
                    <w:rPr>
                      <w:color w:val="auto"/>
                      <w:kern w:val="0"/>
                      <w:szCs w:val="21"/>
                      <w:lang w:bidi="ar"/>
                    </w:rPr>
                    <w:t>114.61</w:t>
                  </w:r>
                </w:p>
              </w:tc>
              <w:tc>
                <w:tcPr>
                  <w:tcW w:w="1261" w:type="pct"/>
                  <w:vAlign w:val="center"/>
                </w:tcPr>
                <w:p>
                  <w:pPr>
                    <w:widowControl/>
                    <w:jc w:val="center"/>
                    <w:textAlignment w:val="center"/>
                    <w:rPr>
                      <w:color w:val="auto"/>
                      <w:kern w:val="0"/>
                      <w:szCs w:val="21"/>
                      <w:lang w:bidi="ar"/>
                    </w:rPr>
                  </w:pPr>
                  <w:r>
                    <w:rPr>
                      <w:color w:val="auto"/>
                      <w:kern w:val="0"/>
                      <w:szCs w:val="21"/>
                      <w:lang w:bidi="ar"/>
                    </w:rPr>
                    <w:t>114.61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二</w:t>
                  </w:r>
                </w:p>
              </w:tc>
              <w:tc>
                <w:tcPr>
                  <w:tcW w:w="1322" w:type="pct"/>
                  <w:vAlign w:val="center"/>
                </w:tcPr>
                <w:p>
                  <w:pPr>
                    <w:widowControl/>
                    <w:jc w:val="center"/>
                    <w:textAlignment w:val="center"/>
                    <w:rPr>
                      <w:color w:val="auto"/>
                      <w:kern w:val="0"/>
                      <w:szCs w:val="21"/>
                      <w:lang w:bidi="ar"/>
                    </w:rPr>
                  </w:pPr>
                  <w:r>
                    <w:rPr>
                      <w:color w:val="auto"/>
                      <w:kern w:val="0"/>
                      <w:szCs w:val="21"/>
                      <w:lang w:bidi="ar"/>
                    </w:rPr>
                    <w:t>临时占地</w:t>
                  </w:r>
                </w:p>
              </w:tc>
              <w:tc>
                <w:tcPr>
                  <w:tcW w:w="952" w:type="pct"/>
                  <w:vAlign w:val="center"/>
                </w:tcPr>
                <w:p>
                  <w:pPr>
                    <w:widowControl/>
                    <w:jc w:val="center"/>
                    <w:textAlignment w:val="center"/>
                    <w:rPr>
                      <w:color w:val="auto"/>
                      <w:kern w:val="0"/>
                      <w:szCs w:val="21"/>
                      <w:lang w:bidi="ar"/>
                    </w:rPr>
                  </w:pPr>
                </w:p>
              </w:tc>
              <w:tc>
                <w:tcPr>
                  <w:tcW w:w="813" w:type="pct"/>
                  <w:vAlign w:val="center"/>
                </w:tcPr>
                <w:p>
                  <w:pPr>
                    <w:widowControl/>
                    <w:jc w:val="center"/>
                    <w:textAlignment w:val="center"/>
                    <w:rPr>
                      <w:color w:val="auto"/>
                      <w:kern w:val="0"/>
                      <w:szCs w:val="21"/>
                      <w:lang w:bidi="ar"/>
                    </w:rPr>
                  </w:pPr>
                  <w:r>
                    <w:rPr>
                      <w:color w:val="auto"/>
                      <w:kern w:val="0"/>
                      <w:szCs w:val="21"/>
                      <w:lang w:bidi="ar"/>
                    </w:rPr>
                    <w:t>52.71</w:t>
                  </w:r>
                </w:p>
              </w:tc>
              <w:tc>
                <w:tcPr>
                  <w:tcW w:w="1261" w:type="pct"/>
                  <w:vAlign w:val="center"/>
                </w:tcPr>
                <w:p>
                  <w:pPr>
                    <w:widowControl/>
                    <w:jc w:val="center"/>
                    <w:textAlignment w:val="center"/>
                    <w:rPr>
                      <w:color w:val="auto"/>
                      <w:kern w:val="0"/>
                      <w:szCs w:val="21"/>
                      <w:lang w:bidi="ar"/>
                    </w:rPr>
                  </w:pPr>
                  <w:r>
                    <w:rPr>
                      <w:color w:val="auto"/>
                      <w:kern w:val="0"/>
                      <w:szCs w:val="21"/>
                      <w:lang w:bidi="ar"/>
                    </w:rPr>
                    <w:t>52.71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1</w:t>
                  </w:r>
                </w:p>
              </w:tc>
              <w:tc>
                <w:tcPr>
                  <w:tcW w:w="1322" w:type="pct"/>
                  <w:vAlign w:val="center"/>
                </w:tcPr>
                <w:p>
                  <w:pPr>
                    <w:widowControl/>
                    <w:jc w:val="center"/>
                    <w:textAlignment w:val="center"/>
                    <w:rPr>
                      <w:color w:val="auto"/>
                      <w:kern w:val="0"/>
                      <w:szCs w:val="21"/>
                      <w:lang w:bidi="ar"/>
                    </w:rPr>
                  </w:pPr>
                  <w:r>
                    <w:rPr>
                      <w:color w:val="auto"/>
                      <w:kern w:val="0"/>
                      <w:szCs w:val="21"/>
                      <w:lang w:bidi="ar"/>
                    </w:rPr>
                    <w:t>季节性耕地</w:t>
                  </w:r>
                </w:p>
              </w:tc>
              <w:tc>
                <w:tcPr>
                  <w:tcW w:w="952" w:type="pct"/>
                  <w:vAlign w:val="center"/>
                </w:tcPr>
                <w:p>
                  <w:pPr>
                    <w:widowControl/>
                    <w:jc w:val="center"/>
                    <w:textAlignment w:val="center"/>
                    <w:rPr>
                      <w:color w:val="auto"/>
                      <w:kern w:val="0"/>
                      <w:szCs w:val="21"/>
                      <w:lang w:bidi="ar"/>
                    </w:rPr>
                  </w:pPr>
                  <w:r>
                    <w:rPr>
                      <w:color w:val="auto"/>
                      <w:kern w:val="0"/>
                      <w:szCs w:val="21"/>
                      <w:lang w:bidi="ar"/>
                    </w:rPr>
                    <w:t>亩</w:t>
                  </w:r>
                </w:p>
              </w:tc>
              <w:tc>
                <w:tcPr>
                  <w:tcW w:w="813" w:type="pct"/>
                  <w:vAlign w:val="center"/>
                </w:tcPr>
                <w:p>
                  <w:pPr>
                    <w:widowControl/>
                    <w:jc w:val="center"/>
                    <w:textAlignment w:val="center"/>
                    <w:rPr>
                      <w:color w:val="auto"/>
                      <w:kern w:val="0"/>
                      <w:szCs w:val="21"/>
                      <w:lang w:bidi="ar"/>
                    </w:rPr>
                  </w:pPr>
                  <w:r>
                    <w:rPr>
                      <w:color w:val="auto"/>
                      <w:kern w:val="0"/>
                      <w:szCs w:val="21"/>
                      <w:lang w:bidi="ar"/>
                    </w:rPr>
                    <w:t>6.1</w:t>
                  </w:r>
                </w:p>
              </w:tc>
              <w:tc>
                <w:tcPr>
                  <w:tcW w:w="1261" w:type="pct"/>
                  <w:vAlign w:val="center"/>
                </w:tcPr>
                <w:p>
                  <w:pPr>
                    <w:widowControl/>
                    <w:jc w:val="center"/>
                    <w:textAlignment w:val="center"/>
                    <w:rPr>
                      <w:color w:val="auto"/>
                      <w:kern w:val="0"/>
                      <w:szCs w:val="21"/>
                      <w:lang w:bidi="ar"/>
                    </w:rPr>
                  </w:pPr>
                  <w:r>
                    <w:rPr>
                      <w:color w:val="auto"/>
                      <w:kern w:val="0"/>
                      <w:szCs w:val="21"/>
                      <w:lang w:bidi="ar"/>
                    </w:rPr>
                    <w:t>6.1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2</w:t>
                  </w:r>
                </w:p>
              </w:tc>
              <w:tc>
                <w:tcPr>
                  <w:tcW w:w="1322" w:type="pct"/>
                  <w:vAlign w:val="center"/>
                </w:tcPr>
                <w:p>
                  <w:pPr>
                    <w:widowControl/>
                    <w:jc w:val="center"/>
                    <w:textAlignment w:val="center"/>
                    <w:rPr>
                      <w:color w:val="auto"/>
                      <w:kern w:val="0"/>
                      <w:szCs w:val="21"/>
                      <w:lang w:bidi="ar"/>
                    </w:rPr>
                  </w:pPr>
                  <w:r>
                    <w:rPr>
                      <w:color w:val="auto"/>
                      <w:kern w:val="0"/>
                      <w:szCs w:val="21"/>
                      <w:lang w:bidi="ar"/>
                    </w:rPr>
                    <w:t>林地</w:t>
                  </w:r>
                </w:p>
              </w:tc>
              <w:tc>
                <w:tcPr>
                  <w:tcW w:w="952" w:type="pct"/>
                  <w:vAlign w:val="center"/>
                </w:tcPr>
                <w:p>
                  <w:pPr>
                    <w:widowControl/>
                    <w:jc w:val="center"/>
                    <w:textAlignment w:val="center"/>
                    <w:rPr>
                      <w:color w:val="auto"/>
                      <w:kern w:val="0"/>
                      <w:szCs w:val="21"/>
                      <w:lang w:bidi="ar"/>
                    </w:rPr>
                  </w:pPr>
                  <w:r>
                    <w:rPr>
                      <w:color w:val="auto"/>
                      <w:kern w:val="0"/>
                      <w:szCs w:val="21"/>
                      <w:lang w:bidi="ar"/>
                    </w:rPr>
                    <w:t>亩</w:t>
                  </w:r>
                </w:p>
              </w:tc>
              <w:tc>
                <w:tcPr>
                  <w:tcW w:w="813" w:type="pct"/>
                  <w:vAlign w:val="center"/>
                </w:tcPr>
                <w:p>
                  <w:pPr>
                    <w:widowControl/>
                    <w:jc w:val="center"/>
                    <w:textAlignment w:val="center"/>
                    <w:rPr>
                      <w:color w:val="auto"/>
                      <w:kern w:val="0"/>
                      <w:szCs w:val="21"/>
                      <w:lang w:bidi="ar"/>
                    </w:rPr>
                  </w:pPr>
                  <w:r>
                    <w:rPr>
                      <w:color w:val="auto"/>
                      <w:kern w:val="0"/>
                      <w:szCs w:val="21"/>
                      <w:lang w:bidi="ar"/>
                    </w:rPr>
                    <w:t>3.5</w:t>
                  </w:r>
                </w:p>
              </w:tc>
              <w:tc>
                <w:tcPr>
                  <w:tcW w:w="1261" w:type="pct"/>
                  <w:vAlign w:val="center"/>
                </w:tcPr>
                <w:p>
                  <w:pPr>
                    <w:widowControl/>
                    <w:jc w:val="center"/>
                    <w:textAlignment w:val="center"/>
                    <w:rPr>
                      <w:color w:val="auto"/>
                      <w:kern w:val="0"/>
                      <w:szCs w:val="21"/>
                      <w:lang w:bidi="ar"/>
                    </w:rPr>
                  </w:pPr>
                  <w:r>
                    <w:rPr>
                      <w:color w:val="auto"/>
                      <w:kern w:val="0"/>
                      <w:szCs w:val="21"/>
                      <w:lang w:bidi="ar"/>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651" w:type="pct"/>
                  <w:vAlign w:val="center"/>
                </w:tcPr>
                <w:p>
                  <w:pPr>
                    <w:widowControl/>
                    <w:jc w:val="center"/>
                    <w:textAlignment w:val="center"/>
                    <w:rPr>
                      <w:color w:val="auto"/>
                      <w:kern w:val="0"/>
                      <w:szCs w:val="21"/>
                      <w:lang w:bidi="ar"/>
                    </w:rPr>
                  </w:pPr>
                  <w:r>
                    <w:rPr>
                      <w:color w:val="auto"/>
                      <w:kern w:val="0"/>
                      <w:szCs w:val="21"/>
                      <w:lang w:bidi="ar"/>
                    </w:rPr>
                    <w:t>3</w:t>
                  </w:r>
                </w:p>
              </w:tc>
              <w:tc>
                <w:tcPr>
                  <w:tcW w:w="1322" w:type="pct"/>
                  <w:vAlign w:val="center"/>
                </w:tcPr>
                <w:p>
                  <w:pPr>
                    <w:widowControl/>
                    <w:jc w:val="center"/>
                    <w:textAlignment w:val="center"/>
                    <w:rPr>
                      <w:color w:val="auto"/>
                      <w:kern w:val="0"/>
                      <w:szCs w:val="21"/>
                      <w:lang w:bidi="ar"/>
                    </w:rPr>
                  </w:pPr>
                  <w:r>
                    <w:rPr>
                      <w:color w:val="auto"/>
                      <w:kern w:val="0"/>
                      <w:szCs w:val="21"/>
                      <w:lang w:bidi="ar"/>
                    </w:rPr>
                    <w:t>水域及水利设施用地</w:t>
                  </w:r>
                </w:p>
              </w:tc>
              <w:tc>
                <w:tcPr>
                  <w:tcW w:w="952" w:type="pct"/>
                  <w:vAlign w:val="center"/>
                </w:tcPr>
                <w:p>
                  <w:pPr>
                    <w:widowControl/>
                    <w:jc w:val="center"/>
                    <w:textAlignment w:val="center"/>
                    <w:rPr>
                      <w:color w:val="auto"/>
                      <w:kern w:val="0"/>
                      <w:szCs w:val="21"/>
                      <w:lang w:bidi="ar"/>
                    </w:rPr>
                  </w:pPr>
                  <w:r>
                    <w:rPr>
                      <w:color w:val="auto"/>
                      <w:kern w:val="0"/>
                      <w:szCs w:val="21"/>
                      <w:lang w:bidi="ar"/>
                    </w:rPr>
                    <w:t>亩</w:t>
                  </w:r>
                </w:p>
              </w:tc>
              <w:tc>
                <w:tcPr>
                  <w:tcW w:w="813" w:type="pct"/>
                  <w:vAlign w:val="center"/>
                </w:tcPr>
                <w:p>
                  <w:pPr>
                    <w:widowControl/>
                    <w:jc w:val="center"/>
                    <w:textAlignment w:val="center"/>
                    <w:rPr>
                      <w:color w:val="auto"/>
                      <w:kern w:val="0"/>
                      <w:szCs w:val="21"/>
                      <w:lang w:bidi="ar"/>
                    </w:rPr>
                  </w:pPr>
                  <w:r>
                    <w:rPr>
                      <w:color w:val="auto"/>
                      <w:kern w:val="0"/>
                      <w:szCs w:val="21"/>
                      <w:lang w:bidi="ar"/>
                    </w:rPr>
                    <w:t>43.11</w:t>
                  </w:r>
                </w:p>
              </w:tc>
              <w:tc>
                <w:tcPr>
                  <w:tcW w:w="1261" w:type="pct"/>
                  <w:vAlign w:val="center"/>
                </w:tcPr>
                <w:p>
                  <w:pPr>
                    <w:widowControl/>
                    <w:jc w:val="center"/>
                    <w:textAlignment w:val="center"/>
                    <w:rPr>
                      <w:color w:val="auto"/>
                      <w:kern w:val="0"/>
                      <w:szCs w:val="21"/>
                      <w:lang w:bidi="ar"/>
                    </w:rPr>
                  </w:pPr>
                  <w:r>
                    <w:rPr>
                      <w:color w:val="auto"/>
                      <w:kern w:val="0"/>
                      <w:szCs w:val="21"/>
                      <w:lang w:bidi="ar"/>
                    </w:rPr>
                    <w:t>43.11</w:t>
                  </w:r>
                </w:p>
              </w:tc>
            </w:tr>
          </w:tbl>
          <w:p>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项目占地不涉及民居，不涉及居民搬迁，涉及耕地占用。建设单位按照相关占地补偿标准，依法对被占用的耕地进行了资金补偿。根据建设单位提供资料，广坪河羊木段防洪治理工程占地补偿金额为405万元。</w:t>
            </w:r>
          </w:p>
          <w:p>
            <w:pPr>
              <w:numPr>
                <w:ilvl w:val="0"/>
                <w:numId w:val="7"/>
              </w:numPr>
              <w:adjustRightInd w:val="0"/>
              <w:snapToGrid w:val="0"/>
              <w:spacing w:line="360" w:lineRule="auto"/>
              <w:rPr>
                <w:b/>
                <w:bCs/>
                <w:color w:val="auto"/>
                <w:sz w:val="24"/>
              </w:rPr>
            </w:pPr>
            <w:r>
              <w:rPr>
                <w:b/>
                <w:bCs/>
                <w:color w:val="auto"/>
                <w:sz w:val="24"/>
              </w:rPr>
              <w:t>作业人员安排</w:t>
            </w:r>
          </w:p>
          <w:p>
            <w:pPr>
              <w:adjustRightInd w:val="0"/>
              <w:snapToGrid w:val="0"/>
              <w:spacing w:line="360" w:lineRule="auto"/>
              <w:ind w:firstLine="482" w:firstLineChars="200"/>
              <w:rPr>
                <w:color w:val="auto"/>
                <w:sz w:val="24"/>
              </w:rPr>
            </w:pPr>
            <w:r>
              <w:rPr>
                <w:b/>
                <w:bCs/>
                <w:color w:val="auto"/>
                <w:sz w:val="24"/>
              </w:rPr>
              <w:t>施工期：</w:t>
            </w:r>
            <w:r>
              <w:rPr>
                <w:color w:val="auto"/>
                <w:sz w:val="24"/>
              </w:rPr>
              <w:t>本项目施工高峰期为60人，施工人员住宿租赁附近的空置房屋，施工现场不设置宿舍。</w:t>
            </w:r>
          </w:p>
          <w:p>
            <w:pPr>
              <w:adjustRightInd w:val="0"/>
              <w:snapToGrid w:val="0"/>
              <w:spacing w:line="360" w:lineRule="auto"/>
              <w:ind w:firstLine="482" w:firstLineChars="200"/>
              <w:rPr>
                <w:color w:val="auto"/>
              </w:rPr>
            </w:pPr>
            <w:r>
              <w:rPr>
                <w:b/>
                <w:bCs/>
                <w:color w:val="auto"/>
                <w:sz w:val="24"/>
              </w:rPr>
              <w:t>运营期：</w:t>
            </w:r>
            <w:r>
              <w:rPr>
                <w:color w:val="auto"/>
                <w:sz w:val="24"/>
              </w:rPr>
              <w:t>管理人员由朝天区水务局抽调，不新增管理员工。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528" w:type="dxa"/>
            <w:vAlign w:val="center"/>
          </w:tcPr>
          <w:p>
            <w:pPr>
              <w:adjustRightInd w:val="0"/>
              <w:snapToGrid w:val="0"/>
              <w:jc w:val="center"/>
              <w:rPr>
                <w:color w:val="auto"/>
                <w:kern w:val="0"/>
                <w:sz w:val="24"/>
              </w:rPr>
            </w:pPr>
            <w:r>
              <w:rPr>
                <w:color w:val="auto"/>
                <w:kern w:val="0"/>
                <w:sz w:val="24"/>
              </w:rPr>
              <w:t>总平面及现场布置</w:t>
            </w:r>
          </w:p>
        </w:tc>
        <w:tc>
          <w:tcPr>
            <w:tcW w:w="9591" w:type="dxa"/>
            <w:vAlign w:val="center"/>
          </w:tcPr>
          <w:p>
            <w:pPr>
              <w:adjustRightInd w:val="0"/>
              <w:snapToGrid w:val="0"/>
              <w:spacing w:line="360" w:lineRule="auto"/>
              <w:jc w:val="left"/>
              <w:rPr>
                <w:b/>
                <w:bCs/>
                <w:color w:val="auto"/>
                <w:sz w:val="24"/>
              </w:rPr>
            </w:pPr>
            <w:r>
              <w:rPr>
                <w:b/>
                <w:bCs/>
                <w:color w:val="auto"/>
                <w:sz w:val="24"/>
              </w:rPr>
              <w:t>一、工程布局</w:t>
            </w:r>
          </w:p>
          <w:p>
            <w:pPr>
              <w:adjustRightInd w:val="0"/>
              <w:snapToGrid w:val="0"/>
              <w:spacing w:line="360" w:lineRule="auto"/>
              <w:ind w:firstLine="482" w:firstLineChars="200"/>
              <w:jc w:val="left"/>
              <w:rPr>
                <w:b/>
                <w:bCs/>
                <w:color w:val="auto"/>
                <w:sz w:val="24"/>
              </w:rPr>
            </w:pPr>
            <w:r>
              <w:rPr>
                <w:b/>
                <w:bCs/>
                <w:color w:val="auto"/>
                <w:sz w:val="24"/>
              </w:rPr>
              <w:t>1、堤线布置</w:t>
            </w:r>
          </w:p>
          <w:p>
            <w:pPr>
              <w:adjustRightInd w:val="0"/>
              <w:snapToGrid w:val="0"/>
              <w:spacing w:line="360" w:lineRule="auto"/>
              <w:ind w:firstLine="480" w:firstLineChars="200"/>
              <w:jc w:val="left"/>
              <w:rPr>
                <w:color w:val="auto"/>
                <w:sz w:val="24"/>
              </w:rPr>
            </w:pPr>
            <w:r>
              <w:rPr>
                <w:color w:val="auto"/>
                <w:sz w:val="24"/>
              </w:rPr>
              <w:t>防洪堤堤线的布置应按照清除洪障、拓宽河道、扩挖卡口、降低河道洪水位的原则确定。在一定的设计洪水条件下，设计堤距与设计堤高是相互关联的。堤距愈近，保护的范围愈大，但堤身愈高，工程量增加，而且水流流速增大，堤防易于发生险情，险工也愈长。堤距过宽，易于产生游荡性河流，给堤防工程的防冲带来不确定的因素。</w:t>
            </w:r>
          </w:p>
          <w:p>
            <w:pPr>
              <w:adjustRightInd w:val="0"/>
              <w:snapToGrid w:val="0"/>
              <w:spacing w:line="360" w:lineRule="auto"/>
              <w:ind w:firstLine="480" w:firstLineChars="200"/>
              <w:jc w:val="left"/>
              <w:rPr>
                <w:color w:val="auto"/>
                <w:sz w:val="24"/>
              </w:rPr>
            </w:pPr>
            <w:r>
              <w:rPr>
                <w:color w:val="auto"/>
                <w:sz w:val="24"/>
              </w:rPr>
              <w:t>本次设计根据工程河段的实际地形、河道岸线、河岸建筑物等因素，结合河道管理范围线和稳定河宽计算的控制成果进行堤防轴线的布置。</w:t>
            </w:r>
          </w:p>
          <w:p>
            <w:pPr>
              <w:pStyle w:val="233"/>
              <w:adjustRightInd w:val="0"/>
              <w:ind w:firstLine="480"/>
              <w:jc w:val="left"/>
              <w:rPr>
                <w:rFonts w:eastAsia="宋体"/>
                <w:color w:val="auto"/>
              </w:rPr>
            </w:pPr>
            <w:r>
              <w:rPr>
                <w:rFonts w:eastAsia="宋体"/>
                <w:color w:val="auto"/>
              </w:rPr>
              <w:t>广坪河羊木段防洪治理工程新建堤防总长度3668m，共分为6段。其中：</w:t>
            </w:r>
          </w:p>
          <w:p>
            <w:pPr>
              <w:pStyle w:val="233"/>
              <w:adjustRightInd w:val="0"/>
              <w:ind w:firstLine="480"/>
              <w:jc w:val="left"/>
              <w:rPr>
                <w:rFonts w:eastAsia="宋体"/>
                <w:color w:val="auto"/>
              </w:rPr>
            </w:pPr>
            <w:r>
              <w:rPr>
                <w:rFonts w:eastAsia="宋体"/>
                <w:color w:val="auto"/>
              </w:rPr>
              <w:t>1段堤防长度为992m（桩号：广左0+000.00m～广左0+992.00m），位于广坪河左岸，堤首接陡峭山崖（坐标：X=3610580.05,Y=579654.45），堤尾接已建防洪堤（坐标：X=3610510.12,Y=578893.01）形成防洪闭合圈，堤型采用碾压砂卵石料砼面板生态堤，堤首采用重力式挡墙+生态护坡连接，该段无碍洪建筑物。</w:t>
            </w:r>
          </w:p>
          <w:p>
            <w:pPr>
              <w:pStyle w:val="233"/>
              <w:adjustRightInd w:val="0"/>
              <w:ind w:firstLine="480"/>
              <w:jc w:val="left"/>
              <w:rPr>
                <w:rFonts w:eastAsia="宋体"/>
                <w:color w:val="auto"/>
              </w:rPr>
            </w:pPr>
            <w:r>
              <w:rPr>
                <w:rFonts w:eastAsia="宋体"/>
                <w:color w:val="auto"/>
              </w:rPr>
              <w:t>2段堤防长度为617m（桩号：广右0+000.00m～广右0+617.00m），位于广坪河右岸，堤首接陡峭山崖（坐标：X=3610370.00,Y=578844.76），堤尾接陡峭山崖（坐标：X=3610613.80,Y=578391.94）形成防洪闭合圈，堤型采用碾压砂卵石料砼面板生态堤，堤首尾采用重力式挡墙+生态护坡连接，该段无碍洪建筑物。</w:t>
            </w:r>
          </w:p>
          <w:p>
            <w:pPr>
              <w:pStyle w:val="233"/>
              <w:adjustRightInd w:val="0"/>
              <w:ind w:firstLine="480"/>
              <w:jc w:val="left"/>
              <w:rPr>
                <w:rFonts w:eastAsia="宋体"/>
                <w:color w:val="auto"/>
              </w:rPr>
            </w:pPr>
            <w:r>
              <w:rPr>
                <w:rFonts w:eastAsia="宋体"/>
                <w:color w:val="auto"/>
              </w:rPr>
              <w:t>3段堤防长度为786m（桩号：广右0+000.00m～广右0+786.00m），位于广坪河右岸，堤首接便桥桥墩（坐标：X=3610487.65,Y=578003.96），堤尾接广坪河3号桥桥墩（坐标：X=3610004.94,Y=577774.05）形成防洪闭合圈，堤型采用碾压砂卵石料砼面板生态堤，堤尾采用C20砼面板连接，该段无碍洪建筑物。</w:t>
            </w:r>
          </w:p>
          <w:p>
            <w:pPr>
              <w:pStyle w:val="233"/>
              <w:adjustRightInd w:val="0"/>
              <w:ind w:firstLine="480"/>
              <w:jc w:val="left"/>
              <w:rPr>
                <w:rFonts w:eastAsia="宋体"/>
                <w:color w:val="auto"/>
              </w:rPr>
            </w:pPr>
            <w:r>
              <w:rPr>
                <w:rFonts w:eastAsia="宋体"/>
                <w:color w:val="auto"/>
              </w:rPr>
              <w:t>4段堤防长度为556m（桩号：广左0+000.00m～广左0+556.00m），位于广坪河左岸，堤首接陡峭山崖（坐标：X=3610145.98,Y=577493.77），堤尾接已建仇坝村堤防（坐标：X=3609769.95,Y=577866.43）形成防洪闭合圈，堤型全段采用碾压砂卵石料砼面板生态堤，该段无碍洪建筑物。</w:t>
            </w:r>
          </w:p>
          <w:p>
            <w:pPr>
              <w:pStyle w:val="233"/>
              <w:adjustRightInd w:val="0"/>
              <w:ind w:firstLine="480"/>
              <w:jc w:val="left"/>
              <w:rPr>
                <w:rFonts w:eastAsia="宋体"/>
                <w:color w:val="auto"/>
              </w:rPr>
            </w:pPr>
            <w:r>
              <w:rPr>
                <w:rFonts w:eastAsia="宋体"/>
                <w:color w:val="auto"/>
              </w:rPr>
              <w:t>5段堤防长度为350m（桩号：广左0+000.00m～广左0+350.00m），位于广坪河左岸，堤首接陡峭山崖（坐标：X=3609351.37,Y=577379.33），堤尾接村道（坐标：X=3609441.65,Y=577056.47）形成防洪闭合圈，堤型全段采用碾压砂卵石料砼面板生态堤，该段无碍洪建筑物。</w:t>
            </w:r>
          </w:p>
          <w:p>
            <w:pPr>
              <w:pStyle w:val="233"/>
              <w:adjustRightInd w:val="0"/>
              <w:ind w:firstLine="480"/>
              <w:jc w:val="left"/>
              <w:rPr>
                <w:rFonts w:eastAsia="宋体"/>
                <w:color w:val="auto"/>
              </w:rPr>
            </w:pPr>
            <w:r>
              <w:rPr>
                <w:rFonts w:eastAsia="宋体"/>
                <w:color w:val="auto"/>
              </w:rPr>
              <w:t>6段堤防（</w:t>
            </w:r>
            <w:r>
              <w:rPr>
                <w:rFonts w:eastAsia="宋体"/>
                <w:b/>
                <w:bCs/>
                <w:color w:val="auto"/>
              </w:rPr>
              <w:t>本段不予实施</w:t>
            </w:r>
            <w:r>
              <w:rPr>
                <w:rFonts w:eastAsia="宋体"/>
                <w:color w:val="auto"/>
              </w:rPr>
              <w:t>）长度为367m（桩号：广右0+000.00m～广右0+367.00m），位于广坪河右岸，堤首接陡峭山崖（坐标：X=3609291.32,Y=577034.75），堤尾接村道桥梁桥墩（坐标：X=3609515.52,Y=576811.25）形成防洪闭合圈，堤型采用碾压砂卵石料砼面板生态堤，堤首采用重力式挡墙+生态护坡连接，该段无碍洪建筑物。</w:t>
            </w:r>
          </w:p>
          <w:p>
            <w:pPr>
              <w:pStyle w:val="233"/>
              <w:adjustRightInd w:val="0"/>
              <w:ind w:firstLine="482"/>
              <w:jc w:val="left"/>
              <w:rPr>
                <w:rFonts w:eastAsia="宋体"/>
                <w:b/>
                <w:bCs/>
                <w:color w:val="auto"/>
              </w:rPr>
            </w:pPr>
            <w:r>
              <w:rPr>
                <w:rFonts w:eastAsia="宋体"/>
                <w:b/>
                <w:bCs/>
                <w:color w:val="auto"/>
              </w:rPr>
              <w:t>2、堤距选择</w:t>
            </w:r>
          </w:p>
          <w:p>
            <w:pPr>
              <w:pStyle w:val="233"/>
              <w:ind w:firstLine="480"/>
              <w:jc w:val="left"/>
              <w:rPr>
                <w:color w:val="auto"/>
              </w:rPr>
            </w:pPr>
            <w:r>
              <w:rPr>
                <w:rFonts w:eastAsia="宋体"/>
                <w:color w:val="auto"/>
              </w:rPr>
              <w:t>本工程所涉及河段势基本稳定，天然岸线已基本形成；根据现场地形情况、已成河堤情况及稳定河宽计算成果，堤线基本沿原有成形岸线布置，同时考虑后期规划及工程占地情况，在对方案优化后，本次设计推荐采用的堤距方案堤距为广坪河104m~110m。</w:t>
            </w:r>
          </w:p>
          <w:p>
            <w:pPr>
              <w:adjustRightInd w:val="0"/>
              <w:snapToGrid w:val="0"/>
              <w:spacing w:line="360" w:lineRule="auto"/>
              <w:jc w:val="left"/>
              <w:rPr>
                <w:b/>
                <w:bCs/>
                <w:color w:val="auto"/>
                <w:sz w:val="24"/>
              </w:rPr>
            </w:pPr>
            <w:r>
              <w:rPr>
                <w:b/>
                <w:bCs/>
                <w:color w:val="auto"/>
                <w:sz w:val="24"/>
              </w:rPr>
              <w:t>二、施工布局</w:t>
            </w:r>
          </w:p>
          <w:p>
            <w:pPr>
              <w:adjustRightInd w:val="0"/>
              <w:snapToGrid w:val="0"/>
              <w:spacing w:line="360" w:lineRule="auto"/>
              <w:ind w:firstLine="482" w:firstLineChars="200"/>
              <w:jc w:val="left"/>
              <w:rPr>
                <w:b/>
                <w:bCs/>
                <w:color w:val="auto"/>
                <w:sz w:val="24"/>
              </w:rPr>
            </w:pPr>
            <w:r>
              <w:rPr>
                <w:b/>
                <w:bCs/>
                <w:color w:val="auto"/>
                <w:sz w:val="24"/>
              </w:rPr>
              <w:t>1、施工道路</w:t>
            </w:r>
          </w:p>
          <w:p>
            <w:pPr>
              <w:adjustRightInd w:val="0"/>
              <w:snapToGrid w:val="0"/>
              <w:spacing w:line="360" w:lineRule="auto"/>
              <w:ind w:firstLine="480" w:firstLineChars="200"/>
              <w:jc w:val="left"/>
              <w:rPr>
                <w:color w:val="auto"/>
                <w:sz w:val="24"/>
              </w:rPr>
            </w:pPr>
            <w:r>
              <w:rPr>
                <w:color w:val="auto"/>
                <w:sz w:val="24"/>
              </w:rPr>
              <w:t>整个工程区有村道、乡道公路贯通，工程内外交通十分方便，因此本项目不设置临时施工便道，利用既有的乡村道路进行材料运输。</w:t>
            </w:r>
          </w:p>
          <w:p>
            <w:pPr>
              <w:adjustRightInd w:val="0"/>
              <w:snapToGrid w:val="0"/>
              <w:spacing w:line="360" w:lineRule="auto"/>
              <w:ind w:firstLine="482" w:firstLineChars="200"/>
              <w:jc w:val="left"/>
              <w:rPr>
                <w:b/>
                <w:bCs/>
                <w:color w:val="auto"/>
                <w:sz w:val="24"/>
              </w:rPr>
            </w:pPr>
            <w:r>
              <w:rPr>
                <w:b/>
                <w:bCs/>
                <w:color w:val="auto"/>
                <w:sz w:val="24"/>
              </w:rPr>
              <w:t>2、施工营地</w:t>
            </w:r>
          </w:p>
          <w:p>
            <w:pPr>
              <w:adjustRightInd w:val="0"/>
              <w:snapToGrid w:val="0"/>
              <w:spacing w:line="360" w:lineRule="auto"/>
              <w:ind w:firstLine="480" w:firstLineChars="200"/>
              <w:jc w:val="left"/>
              <w:rPr>
                <w:color w:val="auto"/>
                <w:sz w:val="24"/>
              </w:rPr>
            </w:pPr>
            <w:r>
              <w:rPr>
                <w:color w:val="auto"/>
                <w:sz w:val="24"/>
              </w:rPr>
              <w:t>项目区位于广元市朝天区朝天镇，附近居民点分布较多，人口较为密集，因此施工单位办公及住宿就近向区域居民租房。项目施工期产生的生活污水依托租用居民房屋已建化粪池处理后用于周边农田及林地施肥，不外排。</w:t>
            </w:r>
          </w:p>
          <w:p>
            <w:pPr>
              <w:adjustRightInd w:val="0"/>
              <w:snapToGrid w:val="0"/>
              <w:spacing w:line="360" w:lineRule="auto"/>
              <w:ind w:firstLine="482" w:firstLineChars="200"/>
              <w:jc w:val="left"/>
              <w:rPr>
                <w:b/>
                <w:bCs/>
                <w:color w:val="auto"/>
                <w:sz w:val="24"/>
              </w:rPr>
            </w:pPr>
            <w:r>
              <w:rPr>
                <w:b/>
                <w:bCs/>
                <w:color w:val="auto"/>
                <w:sz w:val="24"/>
              </w:rPr>
              <w:t>3、施工供电</w:t>
            </w:r>
          </w:p>
          <w:p>
            <w:pPr>
              <w:adjustRightInd w:val="0"/>
              <w:snapToGrid w:val="0"/>
              <w:spacing w:line="360" w:lineRule="auto"/>
              <w:ind w:firstLine="480" w:firstLineChars="200"/>
              <w:jc w:val="left"/>
              <w:rPr>
                <w:color w:val="auto"/>
                <w:sz w:val="24"/>
              </w:rPr>
            </w:pPr>
            <w:r>
              <w:rPr>
                <w:color w:val="auto"/>
                <w:sz w:val="24"/>
              </w:rPr>
              <w:t>工程用电由场镇35kV变电站架设一条临时线路，10kV出线输送至各工区，并在各区设置降压站，供各工区的作业点用电所需，线路长2.0km。实施堤防工程共分2个供电区，分别上段堤防、中下段堤防处各1台50kVA变压器，1台100kVA变压器，备用1台50kW柴油发电机，可解决施工用电。</w:t>
            </w:r>
          </w:p>
          <w:p>
            <w:pPr>
              <w:adjustRightInd w:val="0"/>
              <w:snapToGrid w:val="0"/>
              <w:spacing w:line="360" w:lineRule="auto"/>
              <w:ind w:firstLine="482" w:firstLineChars="200"/>
              <w:jc w:val="left"/>
              <w:rPr>
                <w:b/>
                <w:bCs/>
                <w:color w:val="auto"/>
                <w:sz w:val="24"/>
              </w:rPr>
            </w:pPr>
            <w:r>
              <w:rPr>
                <w:b/>
                <w:bCs/>
                <w:color w:val="auto"/>
                <w:sz w:val="24"/>
              </w:rPr>
              <w:t>4、施工供水</w:t>
            </w:r>
          </w:p>
          <w:p>
            <w:pPr>
              <w:adjustRightInd w:val="0"/>
              <w:snapToGrid w:val="0"/>
              <w:spacing w:line="360" w:lineRule="auto"/>
              <w:ind w:firstLine="480" w:firstLineChars="200"/>
              <w:jc w:val="left"/>
              <w:rPr>
                <w:color w:val="auto"/>
                <w:sz w:val="24"/>
              </w:rPr>
            </w:pPr>
            <w:r>
              <w:rPr>
                <w:color w:val="auto"/>
                <w:sz w:val="24"/>
              </w:rPr>
              <w:t>施工用水采用水泵从广坪河中直接抽取（本次环评要求不得在嘉陵江源湿地市级自然保护区内取水）。生活用水依托租用农户房屋管网集中供水。</w:t>
            </w:r>
          </w:p>
          <w:p>
            <w:pPr>
              <w:adjustRightInd w:val="0"/>
              <w:snapToGrid w:val="0"/>
              <w:spacing w:line="360" w:lineRule="auto"/>
              <w:ind w:firstLine="482" w:firstLineChars="200"/>
              <w:jc w:val="left"/>
              <w:rPr>
                <w:b/>
                <w:bCs/>
                <w:color w:val="auto"/>
                <w:sz w:val="24"/>
              </w:rPr>
            </w:pPr>
            <w:bookmarkStart w:id="6" w:name="OLE_LINK114"/>
            <w:bookmarkStart w:id="7" w:name="OLE_LINK115"/>
            <w:r>
              <w:rPr>
                <w:b/>
                <w:bCs/>
                <w:color w:val="auto"/>
                <w:sz w:val="24"/>
              </w:rPr>
              <w:t>5、</w:t>
            </w:r>
            <w:bookmarkStart w:id="8" w:name="_Hlk140767078"/>
            <w:r>
              <w:rPr>
                <w:b/>
                <w:bCs/>
                <w:color w:val="auto"/>
                <w:sz w:val="24"/>
              </w:rPr>
              <w:t>施工场地</w:t>
            </w:r>
            <w:bookmarkEnd w:id="6"/>
            <w:bookmarkEnd w:id="7"/>
          </w:p>
          <w:bookmarkEnd w:id="8"/>
          <w:p>
            <w:pPr>
              <w:adjustRightInd w:val="0"/>
              <w:snapToGrid w:val="0"/>
              <w:spacing w:line="360" w:lineRule="auto"/>
              <w:ind w:firstLine="480" w:firstLineChars="200"/>
              <w:rPr>
                <w:rStyle w:val="43"/>
                <w:color w:val="auto"/>
                <w:kern w:val="0"/>
                <w:sz w:val="24"/>
              </w:rPr>
            </w:pPr>
            <w:r>
              <w:rPr>
                <w:color w:val="auto"/>
                <w:sz w:val="24"/>
              </w:rPr>
              <w:t>根据堤防工程的分布，为便于施工管理，本堤防工程设置</w:t>
            </w:r>
            <w:r>
              <w:rPr>
                <w:rFonts w:hint="eastAsia"/>
                <w:color w:val="auto"/>
                <w:sz w:val="24"/>
                <w:lang w:eastAsia="zh-CN"/>
              </w:rPr>
              <w:t>了</w:t>
            </w:r>
            <w:r>
              <w:rPr>
                <w:color w:val="auto"/>
                <w:sz w:val="24"/>
              </w:rPr>
              <w:t>1个施工场地，位于</w:t>
            </w:r>
            <w:r>
              <w:rPr>
                <w:rFonts w:hint="eastAsia"/>
                <w:color w:val="auto"/>
                <w:sz w:val="24"/>
                <w:lang w:val="en-US" w:eastAsia="zh-CN"/>
              </w:rPr>
              <w:t>广K4+000处（清淤</w:t>
            </w:r>
            <w:r>
              <w:rPr>
                <w:rFonts w:hint="default" w:ascii="Times New Roman" w:hAnsi="Times New Roman" w:cs="Times New Roman"/>
                <w:color w:val="auto"/>
                <w:sz w:val="24"/>
                <w:lang w:val="en-US" w:eastAsia="zh-CN"/>
              </w:rPr>
              <w:t>Ⅳ区</w:t>
            </w:r>
            <w:r>
              <w:rPr>
                <w:rFonts w:hint="eastAsia"/>
                <w:color w:val="auto"/>
                <w:sz w:val="24"/>
                <w:lang w:val="en-US" w:eastAsia="zh-CN"/>
              </w:rPr>
              <w:t>左岸）</w:t>
            </w:r>
            <w:r>
              <w:rPr>
                <w:color w:val="auto"/>
                <w:sz w:val="24"/>
              </w:rPr>
              <w:t>，占地面积约2000m</w:t>
            </w:r>
            <w:r>
              <w:rPr>
                <w:color w:val="auto"/>
                <w:sz w:val="24"/>
                <w:vertAlign w:val="superscript"/>
              </w:rPr>
              <w:t>2</w:t>
            </w:r>
            <w:r>
              <w:rPr>
                <w:color w:val="auto"/>
                <w:sz w:val="24"/>
              </w:rPr>
              <w:t>，场地内主要设置1个综合加工区、1个机械停放场、1间材料仓库以及1个车辆停放场及沉淀池等。综合加工区位于施工场地北侧，占地面积约800m</w:t>
            </w:r>
            <w:r>
              <w:rPr>
                <w:color w:val="auto"/>
                <w:sz w:val="24"/>
                <w:vertAlign w:val="superscript"/>
              </w:rPr>
              <w:t>2</w:t>
            </w:r>
            <w:r>
              <w:rPr>
                <w:color w:val="auto"/>
                <w:sz w:val="24"/>
              </w:rPr>
              <w:t>；机械停放场位于中部，占地面积约600m</w:t>
            </w:r>
            <w:r>
              <w:rPr>
                <w:color w:val="auto"/>
                <w:sz w:val="24"/>
                <w:vertAlign w:val="superscript"/>
              </w:rPr>
              <w:t>2</w:t>
            </w:r>
            <w:r>
              <w:rPr>
                <w:color w:val="auto"/>
                <w:sz w:val="24"/>
              </w:rPr>
              <w:t>；材料仓库位于施工场地南侧，占地面积约400m</w:t>
            </w:r>
            <w:r>
              <w:rPr>
                <w:color w:val="auto"/>
                <w:sz w:val="24"/>
                <w:vertAlign w:val="superscript"/>
              </w:rPr>
              <w:t>2</w:t>
            </w:r>
            <w:r>
              <w:rPr>
                <w:color w:val="auto"/>
                <w:sz w:val="24"/>
              </w:rPr>
              <w:t>；车辆停放场及隔油沉淀池（1个，10m</w:t>
            </w:r>
            <w:r>
              <w:rPr>
                <w:color w:val="auto"/>
                <w:sz w:val="24"/>
                <w:vertAlign w:val="superscript"/>
              </w:rPr>
              <w:t>3</w:t>
            </w:r>
            <w:r>
              <w:rPr>
                <w:color w:val="auto"/>
                <w:sz w:val="24"/>
              </w:rPr>
              <w:t>）位于施工场地南侧，占地面积约200m</w:t>
            </w:r>
            <w:r>
              <w:rPr>
                <w:color w:val="auto"/>
                <w:sz w:val="24"/>
                <w:vertAlign w:val="superscript"/>
              </w:rPr>
              <w:t>2</w:t>
            </w:r>
            <w:r>
              <w:rPr>
                <w:color w:val="auto"/>
                <w:sz w:val="24"/>
              </w:rPr>
              <w:t>。</w:t>
            </w:r>
          </w:p>
          <w:p>
            <w:pPr>
              <w:adjustRightInd w:val="0"/>
              <w:snapToGrid w:val="0"/>
              <w:spacing w:line="360" w:lineRule="auto"/>
              <w:ind w:firstLine="482" w:firstLineChars="200"/>
              <w:jc w:val="left"/>
              <w:rPr>
                <w:b/>
                <w:bCs/>
                <w:color w:val="auto"/>
                <w:sz w:val="24"/>
              </w:rPr>
            </w:pPr>
            <w:r>
              <w:rPr>
                <w:b/>
                <w:bCs/>
                <w:color w:val="auto"/>
                <w:sz w:val="24"/>
              </w:rPr>
              <w:t>6、弃渣场</w:t>
            </w:r>
          </w:p>
          <w:p>
            <w:pPr>
              <w:adjustRightInd w:val="0"/>
              <w:snapToGrid w:val="0"/>
              <w:spacing w:line="360" w:lineRule="auto"/>
              <w:ind w:firstLine="480" w:firstLineChars="200"/>
              <w:jc w:val="left"/>
              <w:rPr>
                <w:color w:val="auto"/>
                <w:sz w:val="24"/>
              </w:rPr>
            </w:pPr>
            <w:r>
              <w:rPr>
                <w:color w:val="auto"/>
                <w:sz w:val="24"/>
              </w:rPr>
              <w:t>本项目不设置弃渣场，</w:t>
            </w:r>
            <w:r>
              <w:rPr>
                <w:rFonts w:hint="default" w:ascii="Times New Roman" w:hAnsi="Times New Roman" w:cs="Times New Roman"/>
                <w:color w:val="auto"/>
                <w:sz w:val="24"/>
              </w:rPr>
              <w:t>施工产生的</w:t>
            </w:r>
            <w:r>
              <w:rPr>
                <w:rFonts w:hint="default" w:ascii="Times New Roman" w:hAnsi="Times New Roman" w:cs="Times New Roman"/>
                <w:color w:val="auto"/>
                <w:sz w:val="24"/>
                <w:lang w:val="en-US" w:eastAsia="zh-CN"/>
              </w:rPr>
              <w:t>余方</w:t>
            </w:r>
            <w:r>
              <w:rPr>
                <w:rFonts w:hint="default" w:ascii="Times New Roman" w:hAnsi="Times New Roman" w:cs="Times New Roman"/>
                <w:color w:val="auto"/>
                <w:sz w:val="24"/>
              </w:rPr>
              <w:t>用于</w:t>
            </w:r>
            <w:r>
              <w:rPr>
                <w:rFonts w:hint="default" w:ascii="Times New Roman" w:hAnsi="Times New Roman" w:cs="Times New Roman"/>
                <w:color w:val="auto"/>
                <w:sz w:val="24"/>
                <w:lang w:val="en-US" w:eastAsia="zh-CN"/>
              </w:rPr>
              <w:t>部分堤防</w:t>
            </w:r>
            <w:r>
              <w:rPr>
                <w:rFonts w:hint="default" w:ascii="Times New Roman" w:hAnsi="Times New Roman" w:cs="Times New Roman"/>
                <w:color w:val="auto"/>
                <w:sz w:val="24"/>
              </w:rPr>
              <w:t>堤后</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堤后3m内</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低洼处</w:t>
            </w:r>
            <w:r>
              <w:rPr>
                <w:rFonts w:hint="default" w:ascii="Times New Roman" w:hAnsi="Times New Roman" w:cs="Times New Roman"/>
                <w:color w:val="auto"/>
                <w:sz w:val="24"/>
              </w:rPr>
              <w:t>回填</w:t>
            </w:r>
            <w:r>
              <w:rPr>
                <w:color w:val="auto"/>
                <w:sz w:val="24"/>
              </w:rPr>
              <w:t>。</w:t>
            </w:r>
          </w:p>
          <w:p>
            <w:pPr>
              <w:adjustRightInd w:val="0"/>
              <w:snapToGrid w:val="0"/>
              <w:spacing w:line="360" w:lineRule="auto"/>
              <w:ind w:firstLine="482" w:firstLineChars="200"/>
              <w:jc w:val="left"/>
              <w:rPr>
                <w:b/>
                <w:bCs/>
                <w:color w:val="auto"/>
                <w:sz w:val="24"/>
              </w:rPr>
            </w:pPr>
            <w:r>
              <w:rPr>
                <w:b/>
                <w:bCs/>
                <w:color w:val="auto"/>
                <w:sz w:val="24"/>
              </w:rPr>
              <w:t>7、</w:t>
            </w:r>
            <w:bookmarkStart w:id="9" w:name="_Hlk140767071"/>
            <w:r>
              <w:rPr>
                <w:b/>
                <w:bCs/>
                <w:color w:val="auto"/>
                <w:sz w:val="24"/>
              </w:rPr>
              <w:t>临时堆料场</w:t>
            </w:r>
            <w:bookmarkEnd w:id="9"/>
          </w:p>
          <w:p>
            <w:pPr>
              <w:adjustRightInd w:val="0"/>
              <w:snapToGrid w:val="0"/>
              <w:spacing w:line="360" w:lineRule="auto"/>
              <w:ind w:firstLine="480" w:firstLineChars="200"/>
              <w:jc w:val="left"/>
              <w:rPr>
                <w:rFonts w:hint="default" w:eastAsia="宋体"/>
                <w:color w:val="auto"/>
                <w:sz w:val="24"/>
                <w:lang w:val="en-US" w:eastAsia="zh-CN"/>
              </w:rPr>
            </w:pPr>
            <w:r>
              <w:rPr>
                <w:color w:val="auto"/>
                <w:sz w:val="24"/>
              </w:rPr>
              <w:t>本项目设置2处临时堆料场，其中1处用于临时堆存</w:t>
            </w:r>
            <w:r>
              <w:rPr>
                <w:rFonts w:hint="eastAsia"/>
                <w:color w:val="auto"/>
                <w:sz w:val="24"/>
                <w:lang w:eastAsia="zh-CN"/>
              </w:rPr>
              <w:t>、</w:t>
            </w:r>
            <w:r>
              <w:rPr>
                <w:rFonts w:hint="eastAsia"/>
                <w:color w:val="auto"/>
                <w:sz w:val="24"/>
                <w:lang w:val="en-US" w:eastAsia="zh-CN"/>
              </w:rPr>
              <w:t>晾晒</w:t>
            </w:r>
            <w:r>
              <w:rPr>
                <w:color w:val="auto"/>
                <w:sz w:val="24"/>
              </w:rPr>
              <w:t>河道疏挖产生的可利用清淤料，总占地面积约3100m</w:t>
            </w:r>
            <w:r>
              <w:rPr>
                <w:color w:val="auto"/>
                <w:sz w:val="24"/>
                <w:vertAlign w:val="superscript"/>
              </w:rPr>
              <w:t>2</w:t>
            </w:r>
            <w:r>
              <w:rPr>
                <w:color w:val="auto"/>
                <w:sz w:val="24"/>
              </w:rPr>
              <w:t>；另1处用于施工表土临时堆放，占地面积约1300m</w:t>
            </w:r>
            <w:r>
              <w:rPr>
                <w:color w:val="auto"/>
                <w:sz w:val="24"/>
                <w:vertAlign w:val="superscript"/>
              </w:rPr>
              <w:t>2</w:t>
            </w:r>
            <w:r>
              <w:rPr>
                <w:color w:val="auto"/>
                <w:sz w:val="24"/>
              </w:rPr>
              <w:t>。</w:t>
            </w:r>
            <w:r>
              <w:rPr>
                <w:rFonts w:hint="eastAsia"/>
                <w:b w:val="0"/>
                <w:bCs w:val="0"/>
                <w:color w:val="auto"/>
                <w:sz w:val="24"/>
                <w:lang w:val="en-US" w:eastAsia="zh-CN"/>
              </w:rPr>
              <w:t>临时堆料场均位于广K4+200附近，清淤Ⅳ区左岸，</w:t>
            </w:r>
            <w:r>
              <w:rPr>
                <w:rFonts w:hint="eastAsia"/>
                <w:b/>
                <w:bCs/>
                <w:color w:val="auto"/>
                <w:sz w:val="24"/>
                <w:lang w:val="en-US" w:eastAsia="zh-CN"/>
              </w:rPr>
              <w:t>均不在保护区内。</w:t>
            </w:r>
          </w:p>
          <w:p>
            <w:pPr>
              <w:adjustRightInd w:val="0"/>
              <w:snapToGrid w:val="0"/>
              <w:spacing w:line="360" w:lineRule="auto"/>
              <w:ind w:firstLine="482" w:firstLineChars="200"/>
              <w:jc w:val="left"/>
              <w:rPr>
                <w:b/>
                <w:bCs/>
                <w:color w:val="auto"/>
                <w:sz w:val="24"/>
              </w:rPr>
            </w:pPr>
            <w:r>
              <w:rPr>
                <w:b/>
                <w:bCs/>
                <w:color w:val="auto"/>
                <w:sz w:val="24"/>
              </w:rPr>
              <w:t>8、车辆维修</w:t>
            </w:r>
          </w:p>
          <w:p>
            <w:pPr>
              <w:adjustRightInd w:val="0"/>
              <w:snapToGrid w:val="0"/>
              <w:spacing w:line="360" w:lineRule="auto"/>
              <w:ind w:firstLine="480" w:firstLineChars="200"/>
              <w:jc w:val="left"/>
              <w:rPr>
                <w:color w:val="auto"/>
                <w:sz w:val="24"/>
              </w:rPr>
            </w:pPr>
            <w:r>
              <w:rPr>
                <w:color w:val="auto"/>
                <w:sz w:val="24"/>
              </w:rPr>
              <w:t>本工程施工机械及设备大修委托朝天镇汽修厂解决，施工现场不设大型机械修配厂和汽车保养站，工程区主要施工机械设备在进场前完成修配和保养，施工区布置汽车停放场。</w:t>
            </w:r>
          </w:p>
          <w:p>
            <w:pPr>
              <w:adjustRightInd w:val="0"/>
              <w:snapToGrid w:val="0"/>
              <w:spacing w:line="360" w:lineRule="auto"/>
              <w:ind w:firstLine="480" w:firstLineChars="200"/>
              <w:jc w:val="left"/>
              <w:rPr>
                <w:color w:val="auto"/>
                <w:sz w:val="24"/>
              </w:rPr>
            </w:pPr>
            <w:r>
              <w:rPr>
                <w:color w:val="auto"/>
                <w:sz w:val="24"/>
              </w:rPr>
              <w:t>同时，</w:t>
            </w:r>
            <w:r>
              <w:rPr>
                <w:b/>
                <w:bCs/>
                <w:color w:val="auto"/>
                <w:sz w:val="24"/>
              </w:rPr>
              <w:t>环评要求，所有施工机械设备进场前应完成大修及保养。</w:t>
            </w:r>
          </w:p>
          <w:p>
            <w:pPr>
              <w:adjustRightInd w:val="0"/>
              <w:snapToGrid w:val="0"/>
              <w:spacing w:line="360" w:lineRule="auto"/>
              <w:ind w:firstLine="482" w:firstLineChars="200"/>
              <w:jc w:val="left"/>
              <w:rPr>
                <w:b/>
                <w:bCs/>
                <w:color w:val="auto"/>
                <w:sz w:val="24"/>
              </w:rPr>
            </w:pPr>
            <w:r>
              <w:rPr>
                <w:b/>
                <w:bCs/>
                <w:color w:val="auto"/>
                <w:sz w:val="24"/>
              </w:rPr>
              <w:t>9、施工导流</w:t>
            </w:r>
          </w:p>
          <w:p>
            <w:pPr>
              <w:adjustRightInd w:val="0"/>
              <w:snapToGrid w:val="0"/>
              <w:spacing w:line="360" w:lineRule="auto"/>
              <w:ind w:firstLine="482" w:firstLineChars="200"/>
              <w:jc w:val="left"/>
              <w:rPr>
                <w:b/>
                <w:bCs/>
                <w:color w:val="auto"/>
                <w:sz w:val="24"/>
              </w:rPr>
            </w:pPr>
            <w:r>
              <w:rPr>
                <w:b/>
                <w:bCs/>
                <w:color w:val="auto"/>
                <w:sz w:val="24"/>
              </w:rPr>
              <w:t>（1）导流标准</w:t>
            </w:r>
          </w:p>
          <w:p>
            <w:pPr>
              <w:adjustRightInd w:val="0"/>
              <w:snapToGrid w:val="0"/>
              <w:spacing w:line="360" w:lineRule="auto"/>
              <w:ind w:firstLine="480" w:firstLineChars="200"/>
              <w:jc w:val="left"/>
              <w:rPr>
                <w:color w:val="auto"/>
                <w:sz w:val="24"/>
              </w:rPr>
            </w:pPr>
            <w:r>
              <w:rPr>
                <w:color w:val="auto"/>
                <w:sz w:val="24"/>
              </w:rPr>
              <w:t>根据《水利水电工程等级划分及洪水标准》（SL252-2017）的规定，结合该区域人口和社会经济情况，按保护对象的重要性，结合城市发展规划，确定四川省朝天区广坪河羊木段防洪治理工程的防洪标准为5年一遇洪水重现期，主要建筑物为5级，次要和临时建筑物为5级。</w:t>
            </w:r>
          </w:p>
          <w:p>
            <w:pPr>
              <w:adjustRightInd w:val="0"/>
              <w:snapToGrid w:val="0"/>
              <w:spacing w:line="360" w:lineRule="auto"/>
              <w:ind w:firstLine="480" w:firstLineChars="200"/>
              <w:jc w:val="left"/>
              <w:rPr>
                <w:color w:val="auto"/>
                <w:sz w:val="24"/>
              </w:rPr>
            </w:pPr>
            <w:r>
              <w:rPr>
                <w:color w:val="auto"/>
                <w:sz w:val="24"/>
              </w:rPr>
              <w:t>根据《水利水电工程施工组织设计》（SL303-2017），导流建筑物为Ⅴ级，土石类围堰导流洪水标准选择5～10年一遇洪水重现期；结合本工程规模较小，导流时段短，导流风险低的特点，本工程导流设计标准选择5年一遇洪水重现期。</w:t>
            </w:r>
          </w:p>
          <w:p>
            <w:pPr>
              <w:adjustRightInd w:val="0"/>
              <w:snapToGrid w:val="0"/>
              <w:spacing w:line="360" w:lineRule="auto"/>
              <w:ind w:firstLine="482" w:firstLineChars="200"/>
              <w:jc w:val="left"/>
              <w:rPr>
                <w:b/>
                <w:bCs/>
                <w:color w:val="auto"/>
                <w:sz w:val="24"/>
              </w:rPr>
            </w:pPr>
            <w:r>
              <w:rPr>
                <w:b/>
                <w:bCs/>
                <w:color w:val="auto"/>
                <w:sz w:val="24"/>
              </w:rPr>
              <w:t>（2）导流时段和导流流量</w:t>
            </w:r>
          </w:p>
          <w:p>
            <w:pPr>
              <w:adjustRightInd w:val="0"/>
              <w:snapToGrid w:val="0"/>
              <w:spacing w:line="360" w:lineRule="auto"/>
              <w:ind w:firstLine="480" w:firstLineChars="200"/>
              <w:jc w:val="left"/>
              <w:rPr>
                <w:color w:val="auto"/>
                <w:sz w:val="24"/>
              </w:rPr>
            </w:pPr>
            <w:r>
              <w:rPr>
                <w:color w:val="auto"/>
                <w:sz w:val="24"/>
              </w:rPr>
              <w:t>根据洪水的年内分布特点及工程施工要求，该防洪工程基础施工时可于枯水期施工，而河岸墙砌筑及护坡可在汛前、汛后过渡期及汛期施工。根据水文资料分析，12月～次年3月最大流量很小且稳定，4月为汛前过渡期，年最大流量出现在5月～10月，11月为汛后过渡期。结合本工程施工进度按排及其工程布置情况，故确定本工程导流时段为12月～次年3月，导流流量：12.5m</w:t>
            </w:r>
            <w:r>
              <w:rPr>
                <w:color w:val="auto"/>
                <w:sz w:val="24"/>
                <w:vertAlign w:val="superscript"/>
              </w:rPr>
              <w:t>3</w:t>
            </w:r>
            <w:r>
              <w:rPr>
                <w:color w:val="auto"/>
                <w:sz w:val="24"/>
              </w:rPr>
              <w:t>/s。</w:t>
            </w:r>
          </w:p>
          <w:p>
            <w:pPr>
              <w:adjustRightInd w:val="0"/>
              <w:snapToGrid w:val="0"/>
              <w:spacing w:line="360" w:lineRule="auto"/>
              <w:ind w:firstLine="482" w:firstLineChars="200"/>
              <w:jc w:val="left"/>
              <w:rPr>
                <w:b/>
                <w:bCs/>
                <w:color w:val="auto"/>
                <w:sz w:val="24"/>
              </w:rPr>
            </w:pPr>
            <w:r>
              <w:rPr>
                <w:b/>
                <w:bCs/>
                <w:color w:val="auto"/>
                <w:sz w:val="24"/>
              </w:rPr>
              <w:t>（3）导流方式及构筑物</w:t>
            </w:r>
          </w:p>
          <w:p>
            <w:pPr>
              <w:adjustRightInd w:val="0"/>
              <w:snapToGrid w:val="0"/>
              <w:spacing w:line="360" w:lineRule="auto"/>
              <w:ind w:firstLine="480" w:firstLineChars="200"/>
              <w:jc w:val="left"/>
              <w:rPr>
                <w:color w:val="auto"/>
                <w:sz w:val="24"/>
                <w:lang w:val="en-GB"/>
              </w:rPr>
            </w:pPr>
            <w:r>
              <w:rPr>
                <w:color w:val="auto"/>
                <w:sz w:val="24"/>
                <w:lang w:val="en-GB"/>
              </w:rPr>
              <w:t>本工程采用土石围堰。施工临时围堰的参数为：根据工程河段分期洪水成果表，枯水期导流流量为</w:t>
            </w:r>
            <w:r>
              <w:rPr>
                <w:color w:val="auto"/>
                <w:sz w:val="24"/>
              </w:rPr>
              <w:t>12.5m³/s</w:t>
            </w:r>
            <w:r>
              <w:rPr>
                <w:color w:val="auto"/>
                <w:sz w:val="24"/>
                <w:lang w:val="en-GB"/>
              </w:rPr>
              <w:t>。工程河段导流水位为</w:t>
            </w:r>
            <w:r>
              <w:rPr>
                <w:color w:val="auto"/>
                <w:sz w:val="24"/>
              </w:rPr>
              <w:t>486.40m~492.97m，工程河段广坪河羊木段基础开挖面高程为483.50m~493.01m，由于工程堤防基础大部分坐落于河滩地，河堤基础开挖处原河床地面高于对应位置分期洪水水位，对低于断面处设置围堰，</w:t>
            </w:r>
            <w:r>
              <w:rPr>
                <w:color w:val="auto"/>
                <w:sz w:val="24"/>
                <w:lang w:val="en-GB"/>
              </w:rPr>
              <w:t>围堰超高0.5m，围堰顶高程按表</w:t>
            </w:r>
            <w:r>
              <w:rPr>
                <w:color w:val="auto"/>
                <w:sz w:val="24"/>
              </w:rPr>
              <w:t>6.3-4取值</w:t>
            </w:r>
            <w:r>
              <w:rPr>
                <w:color w:val="auto"/>
                <w:sz w:val="24"/>
                <w:lang w:val="en-GB"/>
              </w:rPr>
              <w:t>，顶宽为</w:t>
            </w:r>
            <w:r>
              <w:rPr>
                <w:color w:val="auto"/>
                <w:sz w:val="24"/>
              </w:rPr>
              <w:t>4</w:t>
            </w:r>
            <w:r>
              <w:rPr>
                <w:color w:val="auto"/>
                <w:sz w:val="24"/>
                <w:lang w:val="en-GB"/>
              </w:rPr>
              <w:t>m，迎水面边坡为1:</w:t>
            </w:r>
            <w:r>
              <w:rPr>
                <w:color w:val="auto"/>
                <w:sz w:val="24"/>
              </w:rPr>
              <w:t>1.5</w:t>
            </w:r>
            <w:r>
              <w:rPr>
                <w:color w:val="auto"/>
                <w:sz w:val="24"/>
                <w:lang w:val="en-GB"/>
              </w:rPr>
              <w:t>，背水面边坡1:1.</w:t>
            </w:r>
            <w:r>
              <w:rPr>
                <w:color w:val="auto"/>
                <w:sz w:val="24"/>
              </w:rPr>
              <w:t>3</w:t>
            </w:r>
            <w:r>
              <w:rPr>
                <w:color w:val="auto"/>
                <w:sz w:val="24"/>
                <w:lang w:val="en-GB"/>
              </w:rPr>
              <w:t>。堤防工程施工采用岸边围堰，采用土石围堰，土石料填筑，迎水面采用编织袋装土石护坡结合土工膜防渗，在土石围堰与编织装土石接触面铺设一层土工膜。</w:t>
            </w:r>
          </w:p>
          <w:p>
            <w:pPr>
              <w:pStyle w:val="63"/>
              <w:numPr>
                <w:ilvl w:val="0"/>
                <w:numId w:val="6"/>
              </w:numPr>
              <w:adjustRightInd w:val="0"/>
              <w:snapToGrid w:val="0"/>
              <w:rPr>
                <w:b/>
                <w:color w:val="auto"/>
                <w:szCs w:val="21"/>
              </w:rPr>
            </w:pPr>
            <w:r>
              <w:rPr>
                <w:b/>
                <w:color w:val="auto"/>
                <w:szCs w:val="21"/>
              </w:rPr>
              <w:t>导流围堰位置及特性</w:t>
            </w:r>
          </w:p>
          <w:tbl>
            <w:tblPr>
              <w:tblStyle w:val="36"/>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2099"/>
              <w:gridCol w:w="2160"/>
              <w:gridCol w:w="2047"/>
              <w:gridCol w:w="216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15" w:hRule="atLeast"/>
              </w:trPr>
              <w:tc>
                <w:tcPr>
                  <w:tcW w:w="2341" w:type="dxa"/>
                  <w:vAlign w:val="bottom"/>
                </w:tcPr>
                <w:p>
                  <w:pPr>
                    <w:widowControl/>
                    <w:jc w:val="center"/>
                    <w:textAlignment w:val="center"/>
                    <w:rPr>
                      <w:b/>
                      <w:bCs/>
                      <w:color w:val="auto"/>
                      <w:kern w:val="0"/>
                      <w:szCs w:val="21"/>
                      <w:lang w:bidi="ar"/>
                    </w:rPr>
                  </w:pPr>
                  <w:r>
                    <w:rPr>
                      <w:b/>
                      <w:bCs/>
                      <w:color w:val="auto"/>
                      <w:kern w:val="0"/>
                      <w:szCs w:val="21"/>
                      <w:lang w:bidi="ar"/>
                    </w:rPr>
                    <w:t>保护范围</w:t>
                  </w:r>
                </w:p>
              </w:tc>
              <w:tc>
                <w:tcPr>
                  <w:tcW w:w="2341" w:type="dxa"/>
                  <w:vAlign w:val="bottom"/>
                </w:tcPr>
                <w:p>
                  <w:pPr>
                    <w:widowControl/>
                    <w:jc w:val="center"/>
                    <w:textAlignment w:val="center"/>
                    <w:rPr>
                      <w:b/>
                      <w:bCs/>
                      <w:color w:val="auto"/>
                      <w:kern w:val="0"/>
                      <w:szCs w:val="21"/>
                      <w:lang w:bidi="ar"/>
                    </w:rPr>
                  </w:pPr>
                  <w:r>
                    <w:rPr>
                      <w:b/>
                      <w:bCs/>
                      <w:color w:val="auto"/>
                      <w:kern w:val="0"/>
                      <w:szCs w:val="21"/>
                      <w:lang w:bidi="ar"/>
                    </w:rPr>
                    <w:t>分期洪水水位（m）</w:t>
                  </w:r>
                </w:p>
              </w:tc>
              <w:tc>
                <w:tcPr>
                  <w:tcW w:w="2345" w:type="dxa"/>
                  <w:vAlign w:val="bottom"/>
                </w:tcPr>
                <w:p>
                  <w:pPr>
                    <w:widowControl/>
                    <w:jc w:val="center"/>
                    <w:textAlignment w:val="center"/>
                    <w:rPr>
                      <w:b/>
                      <w:bCs/>
                      <w:color w:val="auto"/>
                      <w:kern w:val="0"/>
                      <w:szCs w:val="21"/>
                      <w:lang w:bidi="ar"/>
                    </w:rPr>
                  </w:pPr>
                  <w:r>
                    <w:rPr>
                      <w:b/>
                      <w:bCs/>
                      <w:color w:val="auto"/>
                      <w:kern w:val="0"/>
                      <w:szCs w:val="21"/>
                      <w:lang w:bidi="ar"/>
                    </w:rPr>
                    <w:t>围堰长度（m）</w:t>
                  </w:r>
                </w:p>
              </w:tc>
              <w:tc>
                <w:tcPr>
                  <w:tcW w:w="2342" w:type="dxa"/>
                  <w:vAlign w:val="bottom"/>
                </w:tcPr>
                <w:p>
                  <w:pPr>
                    <w:widowControl/>
                    <w:jc w:val="center"/>
                    <w:textAlignment w:val="center"/>
                    <w:rPr>
                      <w:b/>
                      <w:bCs/>
                      <w:color w:val="auto"/>
                      <w:kern w:val="0"/>
                      <w:szCs w:val="21"/>
                      <w:lang w:bidi="ar"/>
                    </w:rPr>
                  </w:pPr>
                  <w:r>
                    <w:rPr>
                      <w:b/>
                      <w:bCs/>
                      <w:color w:val="auto"/>
                      <w:kern w:val="0"/>
                      <w:szCs w:val="21"/>
                      <w:lang w:bidi="ar"/>
                    </w:rPr>
                    <w:t>围堰顶高程（m）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15" w:hRule="atLeast"/>
              </w:trPr>
              <w:tc>
                <w:tcPr>
                  <w:tcW w:w="2341" w:type="dxa"/>
                  <w:vAlign w:val="center"/>
                </w:tcPr>
                <w:p>
                  <w:pPr>
                    <w:widowControl/>
                    <w:jc w:val="center"/>
                    <w:textAlignment w:val="center"/>
                    <w:rPr>
                      <w:color w:val="auto"/>
                      <w:kern w:val="0"/>
                      <w:szCs w:val="21"/>
                      <w:lang w:bidi="ar"/>
                    </w:rPr>
                  </w:pPr>
                  <w:r>
                    <w:rPr>
                      <w:color w:val="auto"/>
                      <w:kern w:val="0"/>
                      <w:szCs w:val="21"/>
                      <w:lang w:bidi="ar"/>
                    </w:rPr>
                    <w:t>广0+680.00~广右0+966.00</w:t>
                  </w:r>
                </w:p>
              </w:tc>
              <w:tc>
                <w:tcPr>
                  <w:tcW w:w="2341" w:type="dxa"/>
                  <w:vAlign w:val="center"/>
                </w:tcPr>
                <w:p>
                  <w:pPr>
                    <w:widowControl/>
                    <w:jc w:val="center"/>
                    <w:textAlignment w:val="center"/>
                    <w:rPr>
                      <w:color w:val="auto"/>
                      <w:kern w:val="0"/>
                      <w:szCs w:val="21"/>
                      <w:lang w:bidi="ar"/>
                    </w:rPr>
                  </w:pPr>
                  <w:r>
                    <w:rPr>
                      <w:color w:val="auto"/>
                      <w:kern w:val="0"/>
                      <w:szCs w:val="21"/>
                      <w:lang w:bidi="ar"/>
                    </w:rPr>
                    <w:t>486.45~486.52</w:t>
                  </w:r>
                </w:p>
              </w:tc>
              <w:tc>
                <w:tcPr>
                  <w:tcW w:w="2345" w:type="dxa"/>
                  <w:vAlign w:val="center"/>
                </w:tcPr>
                <w:p>
                  <w:pPr>
                    <w:widowControl/>
                    <w:jc w:val="center"/>
                    <w:textAlignment w:val="center"/>
                    <w:rPr>
                      <w:color w:val="auto"/>
                      <w:kern w:val="0"/>
                      <w:szCs w:val="21"/>
                      <w:lang w:bidi="ar"/>
                    </w:rPr>
                  </w:pPr>
                  <w:r>
                    <w:rPr>
                      <w:color w:val="auto"/>
                      <w:kern w:val="0"/>
                      <w:szCs w:val="21"/>
                      <w:lang w:bidi="ar"/>
                    </w:rPr>
                    <w:t>286</w:t>
                  </w:r>
                </w:p>
              </w:tc>
              <w:tc>
                <w:tcPr>
                  <w:tcW w:w="2342" w:type="dxa"/>
                  <w:vAlign w:val="center"/>
                </w:tcPr>
                <w:p>
                  <w:pPr>
                    <w:widowControl/>
                    <w:jc w:val="center"/>
                    <w:textAlignment w:val="center"/>
                    <w:rPr>
                      <w:color w:val="auto"/>
                      <w:kern w:val="0"/>
                      <w:szCs w:val="21"/>
                      <w:lang w:bidi="ar"/>
                    </w:rPr>
                  </w:pPr>
                  <w:r>
                    <w:rPr>
                      <w:color w:val="auto"/>
                      <w:kern w:val="0"/>
                      <w:szCs w:val="21"/>
                      <w:lang w:bidi="ar"/>
                    </w:rPr>
                    <w:t>486.95~487.02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15" w:hRule="atLeast"/>
              </w:trPr>
              <w:tc>
                <w:tcPr>
                  <w:tcW w:w="2341" w:type="dxa"/>
                  <w:vAlign w:val="center"/>
                </w:tcPr>
                <w:p>
                  <w:pPr>
                    <w:widowControl/>
                    <w:jc w:val="center"/>
                    <w:textAlignment w:val="center"/>
                    <w:rPr>
                      <w:color w:val="auto"/>
                      <w:kern w:val="0"/>
                      <w:szCs w:val="21"/>
                      <w:lang w:bidi="ar"/>
                    </w:rPr>
                  </w:pPr>
                  <w:r>
                    <w:rPr>
                      <w:color w:val="auto"/>
                      <w:kern w:val="0"/>
                      <w:szCs w:val="21"/>
                      <w:lang w:bidi="ar"/>
                    </w:rPr>
                    <w:t>广5+060.00~广右5+334.00</w:t>
                  </w:r>
                </w:p>
              </w:tc>
              <w:tc>
                <w:tcPr>
                  <w:tcW w:w="2341" w:type="dxa"/>
                  <w:vAlign w:val="center"/>
                </w:tcPr>
                <w:p>
                  <w:pPr>
                    <w:widowControl/>
                    <w:jc w:val="center"/>
                    <w:textAlignment w:val="center"/>
                    <w:rPr>
                      <w:color w:val="auto"/>
                      <w:kern w:val="0"/>
                      <w:szCs w:val="21"/>
                      <w:lang w:bidi="ar"/>
                    </w:rPr>
                  </w:pPr>
                  <w:r>
                    <w:rPr>
                      <w:color w:val="auto"/>
                      <w:kern w:val="0"/>
                      <w:szCs w:val="21"/>
                      <w:lang w:bidi="ar"/>
                    </w:rPr>
                    <w:t>492.52~492.65</w:t>
                  </w:r>
                </w:p>
              </w:tc>
              <w:tc>
                <w:tcPr>
                  <w:tcW w:w="2345" w:type="dxa"/>
                  <w:vAlign w:val="center"/>
                </w:tcPr>
                <w:p>
                  <w:pPr>
                    <w:widowControl/>
                    <w:jc w:val="center"/>
                    <w:textAlignment w:val="center"/>
                    <w:rPr>
                      <w:color w:val="auto"/>
                      <w:kern w:val="0"/>
                      <w:szCs w:val="21"/>
                      <w:lang w:bidi="ar"/>
                    </w:rPr>
                  </w:pPr>
                  <w:r>
                    <w:rPr>
                      <w:color w:val="auto"/>
                      <w:kern w:val="0"/>
                      <w:szCs w:val="21"/>
                      <w:lang w:bidi="ar"/>
                    </w:rPr>
                    <w:t>274</w:t>
                  </w:r>
                </w:p>
              </w:tc>
              <w:tc>
                <w:tcPr>
                  <w:tcW w:w="2342" w:type="dxa"/>
                  <w:vAlign w:val="center"/>
                </w:tcPr>
                <w:p>
                  <w:pPr>
                    <w:widowControl/>
                    <w:jc w:val="center"/>
                    <w:textAlignment w:val="center"/>
                    <w:rPr>
                      <w:color w:val="auto"/>
                      <w:kern w:val="0"/>
                      <w:szCs w:val="21"/>
                      <w:lang w:bidi="ar"/>
                    </w:rPr>
                  </w:pPr>
                  <w:r>
                    <w:rPr>
                      <w:color w:val="auto"/>
                      <w:kern w:val="0"/>
                      <w:szCs w:val="21"/>
                      <w:lang w:bidi="ar"/>
                    </w:rPr>
                    <w:t>493.02~493.15</w:t>
                  </w:r>
                </w:p>
              </w:tc>
            </w:tr>
          </w:tbl>
          <w:p>
            <w:pPr>
              <w:adjustRightInd w:val="0"/>
              <w:snapToGrid w:val="0"/>
              <w:spacing w:line="360" w:lineRule="auto"/>
              <w:ind w:firstLine="420" w:firstLineChars="200"/>
              <w:jc w:val="left"/>
              <w:rPr>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528" w:type="dxa"/>
            <w:vAlign w:val="center"/>
          </w:tcPr>
          <w:p>
            <w:pPr>
              <w:adjustRightInd w:val="0"/>
              <w:snapToGrid w:val="0"/>
              <w:jc w:val="center"/>
              <w:rPr>
                <w:color w:val="auto"/>
                <w:kern w:val="0"/>
                <w:sz w:val="24"/>
              </w:rPr>
            </w:pPr>
            <w:r>
              <w:rPr>
                <w:color w:val="auto"/>
                <w:kern w:val="0"/>
                <w:sz w:val="24"/>
              </w:rPr>
              <w:t>施工方案</w:t>
            </w:r>
          </w:p>
        </w:tc>
        <w:tc>
          <w:tcPr>
            <w:tcW w:w="9591" w:type="dxa"/>
          </w:tcPr>
          <w:p>
            <w:pPr>
              <w:adjustRightInd w:val="0"/>
              <w:snapToGrid w:val="0"/>
              <w:spacing w:line="360" w:lineRule="auto"/>
              <w:jc w:val="left"/>
              <w:rPr>
                <w:b/>
                <w:bCs/>
                <w:color w:val="auto"/>
                <w:sz w:val="24"/>
              </w:rPr>
            </w:pPr>
            <w:r>
              <w:rPr>
                <w:b/>
                <w:bCs/>
                <w:color w:val="auto"/>
                <w:sz w:val="24"/>
              </w:rPr>
              <w:t>一、施工工艺</w:t>
            </w:r>
          </w:p>
          <w:p>
            <w:pPr>
              <w:adjustRightInd w:val="0"/>
              <w:snapToGrid w:val="0"/>
              <w:spacing w:line="360" w:lineRule="auto"/>
              <w:ind w:firstLine="480" w:firstLineChars="200"/>
              <w:jc w:val="left"/>
              <w:rPr>
                <w:color w:val="auto"/>
                <w:sz w:val="24"/>
              </w:rPr>
            </w:pPr>
            <w:r>
              <w:rPr>
                <w:color w:val="auto"/>
                <w:sz w:val="24"/>
              </w:rPr>
              <w:t>本项目主要进行堤防工程修建以及河道清淤疏浚。</w:t>
            </w:r>
          </w:p>
          <w:p>
            <w:pPr>
              <w:adjustRightInd w:val="0"/>
              <w:snapToGrid w:val="0"/>
              <w:spacing w:line="360" w:lineRule="auto"/>
              <w:ind w:firstLine="482" w:firstLineChars="200"/>
              <w:jc w:val="left"/>
              <w:rPr>
                <w:b/>
                <w:bCs/>
                <w:color w:val="auto"/>
                <w:sz w:val="24"/>
              </w:rPr>
            </w:pPr>
            <w:r>
              <w:rPr>
                <w:b/>
                <w:bCs/>
                <w:color w:val="auto"/>
                <w:sz w:val="24"/>
              </w:rPr>
              <w:t>1、河道清淤疏浚施工工艺</w:t>
            </w:r>
          </w:p>
          <w:p>
            <w:pPr>
              <w:adjustRightInd w:val="0"/>
              <w:snapToGrid w:val="0"/>
              <w:spacing w:line="360" w:lineRule="auto"/>
              <w:ind w:firstLine="480" w:firstLineChars="200"/>
              <w:jc w:val="left"/>
              <w:rPr>
                <w:color w:val="auto"/>
                <w:sz w:val="24"/>
              </w:rPr>
            </w:pPr>
            <w:r>
              <w:rPr>
                <w:color w:val="auto"/>
                <w:sz w:val="24"/>
              </w:rPr>
              <w:t>本项目河道疏挖工作时间在广坪河枯水期进行，疏浚河段大部分河床基岩裸露，河床覆盖层较薄，清淤物质以漂卵砾石夹砂为主，河道疏挖采用施工机械下河开挖，河床疏浚主要以平整河床为主，清淤料约</w:t>
            </w:r>
            <w:r>
              <w:rPr>
                <w:rFonts w:hint="eastAsia"/>
                <w:color w:val="auto"/>
                <w:sz w:val="24"/>
                <w:lang w:val="en-US" w:eastAsia="zh-CN"/>
              </w:rPr>
              <w:t>20.13</w:t>
            </w:r>
            <w:r>
              <w:rPr>
                <w:color w:val="auto"/>
                <w:sz w:val="24"/>
              </w:rPr>
              <w:t>万m</w:t>
            </w:r>
            <w:r>
              <w:rPr>
                <w:color w:val="auto"/>
                <w:sz w:val="24"/>
                <w:vertAlign w:val="superscript"/>
              </w:rPr>
              <w:t>3</w:t>
            </w:r>
            <w:r>
              <w:rPr>
                <w:color w:val="auto"/>
                <w:sz w:val="24"/>
              </w:rPr>
              <w:t>，清淤料大部分为砂石，暂存于临时堆土场后全部用于新建堤防</w:t>
            </w:r>
            <w:r>
              <w:rPr>
                <w:rFonts w:hint="eastAsia"/>
                <w:color w:val="auto"/>
                <w:sz w:val="24"/>
                <w:lang w:val="en-US" w:eastAsia="zh-CN"/>
              </w:rPr>
              <w:t>填筑</w:t>
            </w:r>
            <w:r>
              <w:rPr>
                <w:rFonts w:hint="eastAsia"/>
                <w:color w:val="auto"/>
                <w:sz w:val="24"/>
                <w:lang w:eastAsia="zh-CN"/>
              </w:rPr>
              <w:t>、</w:t>
            </w:r>
            <w:r>
              <w:rPr>
                <w:rFonts w:hint="eastAsia"/>
                <w:color w:val="auto"/>
                <w:sz w:val="24"/>
                <w:lang w:val="en-US" w:eastAsia="zh-CN"/>
              </w:rPr>
              <w:t>堤后低洼处回填</w:t>
            </w:r>
            <w:r>
              <w:rPr>
                <w:color w:val="auto"/>
                <w:sz w:val="24"/>
              </w:rPr>
              <w:t>。</w:t>
            </w:r>
          </w:p>
          <w:p>
            <w:pPr>
              <w:adjustRightInd w:val="0"/>
              <w:snapToGrid w:val="0"/>
              <w:spacing w:line="360" w:lineRule="auto"/>
              <w:ind w:firstLine="482" w:firstLineChars="200"/>
              <w:jc w:val="left"/>
              <w:rPr>
                <w:b/>
                <w:bCs/>
                <w:color w:val="auto"/>
                <w:sz w:val="24"/>
              </w:rPr>
            </w:pPr>
            <w:r>
              <w:rPr>
                <w:b/>
                <w:bCs/>
                <w:color w:val="auto"/>
                <w:sz w:val="24"/>
              </w:rPr>
              <w:t>2、堤防工程施工工艺</w:t>
            </w:r>
          </w:p>
          <w:p>
            <w:pPr>
              <w:adjustRightInd w:val="0"/>
              <w:snapToGrid w:val="0"/>
              <w:spacing w:line="360" w:lineRule="auto"/>
              <w:ind w:firstLine="480" w:firstLineChars="200"/>
              <w:jc w:val="left"/>
              <w:rPr>
                <w:color w:val="auto"/>
                <w:sz w:val="24"/>
              </w:rPr>
            </w:pPr>
            <w:r>
              <w:rPr>
                <w:color w:val="auto"/>
                <w:sz w:val="24"/>
              </w:rPr>
              <w:t>本项目主要进行堤防的新建，堤防工程施工工艺如下图所示：</w:t>
            </w:r>
          </w:p>
          <w:p>
            <w:pPr>
              <w:pStyle w:val="12"/>
              <w:ind w:left="0" w:leftChars="0" w:firstLine="0" w:firstLineChars="0"/>
              <w:jc w:val="center"/>
              <w:rPr>
                <w:color w:val="auto"/>
                <w:szCs w:val="24"/>
              </w:rPr>
            </w:pPr>
            <w:r>
              <w:rPr>
                <w:color w:val="auto"/>
                <w:szCs w:val="24"/>
              </w:rPr>
              <w:drawing>
                <wp:inline distT="0" distB="0" distL="0" distR="0">
                  <wp:extent cx="4655820" cy="1984375"/>
                  <wp:effectExtent l="0" t="0" r="0" b="0"/>
                  <wp:docPr id="15" name="ECB019B1-382A-4266-B25C-5B523AA43C14-1" descr="C:/Users/Administrator/AppData/Local/Temp/wps.MnwtJ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CB019B1-382A-4266-B25C-5B523AA43C14-1" descr="C:/Users/Administrator/AppData/Local/Temp/wps.MnwtJGwps"/>
                          <pic:cNvPicPr>
                            <a:picLocks noChangeAspect="1" noChangeArrowheads="1"/>
                          </pic:cNvPicPr>
                        </pic:nvPicPr>
                        <pic:blipFill>
                          <a:blip r:embed="rId17"/>
                          <a:srcRect/>
                          <a:stretch>
                            <a:fillRect/>
                          </a:stretch>
                        </pic:blipFill>
                        <pic:spPr>
                          <a:xfrm>
                            <a:off x="0" y="0"/>
                            <a:ext cx="4655820" cy="1984375"/>
                          </a:xfrm>
                          <a:prstGeom prst="rect">
                            <a:avLst/>
                          </a:prstGeom>
                          <a:noFill/>
                          <a:ln>
                            <a:noFill/>
                          </a:ln>
                        </pic:spPr>
                      </pic:pic>
                    </a:graphicData>
                  </a:graphic>
                </wp:inline>
              </w:drawing>
            </w:r>
          </w:p>
          <w:p>
            <w:pPr>
              <w:adjustRightInd w:val="0"/>
              <w:snapToGrid w:val="0"/>
              <w:ind w:firstLine="482" w:firstLineChars="200"/>
              <w:jc w:val="center"/>
              <w:rPr>
                <w:b/>
                <w:bCs/>
                <w:color w:val="auto"/>
                <w:sz w:val="24"/>
              </w:rPr>
            </w:pPr>
            <w:r>
              <w:rPr>
                <w:b/>
                <w:bCs/>
                <w:color w:val="auto"/>
                <w:sz w:val="24"/>
              </w:rPr>
              <w:t>图2-2 堤防工程施工工艺图</w:t>
            </w:r>
          </w:p>
          <w:p>
            <w:pPr>
              <w:adjustRightInd w:val="0"/>
              <w:snapToGrid w:val="0"/>
              <w:spacing w:line="360" w:lineRule="auto"/>
              <w:ind w:firstLine="480" w:firstLineChars="200"/>
              <w:jc w:val="left"/>
              <w:rPr>
                <w:color w:val="auto"/>
                <w:sz w:val="24"/>
              </w:rPr>
            </w:pPr>
            <w:r>
              <w:rPr>
                <w:color w:val="auto"/>
                <w:sz w:val="24"/>
              </w:rPr>
              <w:t>工艺流程简述：</w:t>
            </w:r>
          </w:p>
          <w:p>
            <w:pPr>
              <w:adjustRightInd w:val="0"/>
              <w:snapToGrid w:val="0"/>
              <w:spacing w:line="360" w:lineRule="auto"/>
              <w:ind w:firstLine="480" w:firstLineChars="200"/>
              <w:jc w:val="left"/>
              <w:rPr>
                <w:color w:val="auto"/>
                <w:sz w:val="24"/>
              </w:rPr>
            </w:pPr>
            <w:r>
              <w:rPr>
                <w:color w:val="auto"/>
                <w:sz w:val="24"/>
              </w:rPr>
              <w:t>（1）导流围堰</w:t>
            </w:r>
          </w:p>
          <w:p>
            <w:pPr>
              <w:adjustRightInd w:val="0"/>
              <w:snapToGrid w:val="0"/>
              <w:spacing w:line="360" w:lineRule="auto"/>
              <w:ind w:firstLine="480" w:firstLineChars="200"/>
              <w:jc w:val="left"/>
              <w:rPr>
                <w:color w:val="auto"/>
                <w:sz w:val="24"/>
              </w:rPr>
            </w:pPr>
            <w:r>
              <w:rPr>
                <w:color w:val="auto"/>
                <w:sz w:val="24"/>
                <w:lang w:val="en-GB"/>
              </w:rPr>
              <w:t>本工程采用土石围堰。施工临时围堰的参数为：根据工程河段分期洪水成果表，枯水期导流流量为</w:t>
            </w:r>
            <w:r>
              <w:rPr>
                <w:color w:val="auto"/>
                <w:sz w:val="24"/>
              </w:rPr>
              <w:t>12.5m³/s</w:t>
            </w:r>
            <w:r>
              <w:rPr>
                <w:color w:val="auto"/>
                <w:sz w:val="24"/>
                <w:lang w:val="en-GB"/>
              </w:rPr>
              <w:t>。工程河段导流水位为</w:t>
            </w:r>
            <w:r>
              <w:rPr>
                <w:color w:val="auto"/>
                <w:sz w:val="24"/>
              </w:rPr>
              <w:t>486.40m~492.97m，工程河段广坪河羊木段基础开挖面高程为483.50m~493.01m，由于工程堤防基础大部分坐落于河滩地，河堤基础开挖处原河床地面高于对应位置分期洪水水位，对低于断面处设置围堰，</w:t>
            </w:r>
            <w:r>
              <w:rPr>
                <w:color w:val="auto"/>
                <w:sz w:val="24"/>
                <w:lang w:val="en-GB"/>
              </w:rPr>
              <w:t>围堰超高0.5m，围堰顶高程按表</w:t>
            </w:r>
            <w:r>
              <w:rPr>
                <w:color w:val="auto"/>
                <w:sz w:val="24"/>
              </w:rPr>
              <w:t>6.3-4取值</w:t>
            </w:r>
            <w:r>
              <w:rPr>
                <w:color w:val="auto"/>
                <w:sz w:val="24"/>
                <w:lang w:val="en-GB"/>
              </w:rPr>
              <w:t>，顶宽为</w:t>
            </w:r>
            <w:r>
              <w:rPr>
                <w:color w:val="auto"/>
                <w:sz w:val="24"/>
              </w:rPr>
              <w:t>4</w:t>
            </w:r>
            <w:r>
              <w:rPr>
                <w:color w:val="auto"/>
                <w:sz w:val="24"/>
                <w:lang w:val="en-GB"/>
              </w:rPr>
              <w:t>m，迎水面边坡为1:</w:t>
            </w:r>
            <w:r>
              <w:rPr>
                <w:color w:val="auto"/>
                <w:sz w:val="24"/>
              </w:rPr>
              <w:t>1.5</w:t>
            </w:r>
            <w:r>
              <w:rPr>
                <w:color w:val="auto"/>
                <w:sz w:val="24"/>
                <w:lang w:val="en-GB"/>
              </w:rPr>
              <w:t>，背水面边坡1:1.</w:t>
            </w:r>
            <w:r>
              <w:rPr>
                <w:color w:val="auto"/>
                <w:sz w:val="24"/>
              </w:rPr>
              <w:t>3</w:t>
            </w:r>
            <w:r>
              <w:rPr>
                <w:color w:val="auto"/>
                <w:sz w:val="24"/>
                <w:lang w:val="en-GB"/>
              </w:rPr>
              <w:t>。堤防工程施工采用岸边围堰，采用土石围堰，土石料填筑，迎水面采用编织袋装土石护坡结合土工膜防渗，在土石围堰与编织装土石接触面铺设一层土工膜</w:t>
            </w:r>
            <w:r>
              <w:rPr>
                <w:color w:val="auto"/>
                <w:sz w:val="24"/>
              </w:rPr>
              <w:t>。</w:t>
            </w:r>
          </w:p>
          <w:p>
            <w:pPr>
              <w:adjustRightInd w:val="0"/>
              <w:snapToGrid w:val="0"/>
              <w:spacing w:line="360" w:lineRule="auto"/>
              <w:ind w:firstLine="480" w:firstLineChars="200"/>
              <w:jc w:val="left"/>
              <w:rPr>
                <w:color w:val="auto"/>
                <w:sz w:val="24"/>
              </w:rPr>
            </w:pPr>
            <w:r>
              <w:rPr>
                <w:color w:val="auto"/>
                <w:sz w:val="24"/>
              </w:rPr>
              <w:t>围堰的放入与拆除：在枯水期（12月）开展围堰工程，围堰需在3月底枯水期结束前进行拆除，围堰的放入和拆除过程会造成一定的水体扰动，造成局域水体浑浊。</w:t>
            </w:r>
          </w:p>
          <w:p>
            <w:pPr>
              <w:adjustRightInd w:val="0"/>
              <w:snapToGrid w:val="0"/>
              <w:spacing w:line="360" w:lineRule="auto"/>
              <w:ind w:firstLine="480" w:firstLineChars="200"/>
              <w:jc w:val="left"/>
              <w:rPr>
                <w:color w:val="auto"/>
                <w:sz w:val="24"/>
              </w:rPr>
            </w:pPr>
            <w:r>
              <w:rPr>
                <w:color w:val="auto"/>
                <w:sz w:val="24"/>
              </w:rPr>
              <w:t>（2）基坑排水</w:t>
            </w:r>
          </w:p>
          <w:p>
            <w:pPr>
              <w:adjustRightInd w:val="0"/>
              <w:snapToGrid w:val="0"/>
              <w:spacing w:line="360" w:lineRule="auto"/>
              <w:ind w:firstLine="480" w:firstLineChars="200"/>
              <w:jc w:val="left"/>
              <w:rPr>
                <w:color w:val="auto"/>
                <w:sz w:val="24"/>
              </w:rPr>
            </w:pPr>
            <w:r>
              <w:rPr>
                <w:color w:val="auto"/>
                <w:sz w:val="24"/>
              </w:rPr>
              <w:t>初期排水：工程施工安排在晴天施工，排水历时较短，初期排水不考虑降雨影响。初期排水可不考虑渗水，由于基坑的较小，采用2～4台IS50-32-125型水泵，流量12.5m³/h，扬程20m，配带功率2.2kW，即可满足施工需要。</w:t>
            </w:r>
          </w:p>
          <w:p>
            <w:pPr>
              <w:adjustRightInd w:val="0"/>
              <w:snapToGrid w:val="0"/>
              <w:spacing w:line="360" w:lineRule="auto"/>
              <w:ind w:firstLine="480" w:firstLineChars="200"/>
              <w:jc w:val="left"/>
              <w:rPr>
                <w:color w:val="auto"/>
                <w:sz w:val="24"/>
              </w:rPr>
            </w:pPr>
            <w:r>
              <w:rPr>
                <w:color w:val="auto"/>
                <w:sz w:val="24"/>
              </w:rPr>
              <w:t>经常性排水：主要为渗透水，此外尚有基坑施工期的天然降水和施工弃水等，每段选用2～4台IS50-32-125型水泵，流量12.5m³/h，扬程20m，配带功率2.2kW，施工时段不间断排水。</w:t>
            </w:r>
          </w:p>
          <w:p>
            <w:pPr>
              <w:adjustRightInd w:val="0"/>
              <w:snapToGrid w:val="0"/>
              <w:spacing w:line="360" w:lineRule="auto"/>
              <w:ind w:firstLine="480" w:firstLineChars="200"/>
              <w:jc w:val="left"/>
              <w:rPr>
                <w:color w:val="auto"/>
                <w:sz w:val="24"/>
              </w:rPr>
            </w:pPr>
            <w:r>
              <w:rPr>
                <w:color w:val="auto"/>
                <w:sz w:val="24"/>
              </w:rPr>
              <w:t>（3）土石方开挖</w:t>
            </w:r>
          </w:p>
          <w:p>
            <w:pPr>
              <w:pStyle w:val="233"/>
              <w:ind w:firstLine="480"/>
              <w:jc w:val="left"/>
              <w:rPr>
                <w:rFonts w:eastAsia="宋体"/>
                <w:color w:val="auto"/>
              </w:rPr>
            </w:pPr>
            <w:r>
              <w:rPr>
                <w:rFonts w:eastAsia="宋体"/>
                <w:color w:val="auto"/>
              </w:rPr>
              <w:t>拟采用1.0m³挖掘机辅以人工开挖，就近堆放在工作面附近作为土石回填施工准备土料，运距200m。</w:t>
            </w:r>
          </w:p>
          <w:p>
            <w:pPr>
              <w:adjustRightInd w:val="0"/>
              <w:snapToGrid w:val="0"/>
              <w:spacing w:line="360" w:lineRule="auto"/>
              <w:ind w:firstLine="480" w:firstLineChars="200"/>
              <w:jc w:val="left"/>
              <w:rPr>
                <w:color w:val="auto"/>
                <w:sz w:val="24"/>
              </w:rPr>
            </w:pPr>
            <w:r>
              <w:rPr>
                <w:color w:val="auto"/>
                <w:sz w:val="24"/>
              </w:rPr>
              <w:t>采用液压岩石破碎机破碎岩石，采用1m³单斗液压挖掘机开挖，就近堆存。开挖过程中应注意防止杂填土或其他杂物混杂，待石渣填筑时将其利用。</w:t>
            </w:r>
          </w:p>
          <w:p>
            <w:pPr>
              <w:adjustRightInd w:val="0"/>
              <w:snapToGrid w:val="0"/>
              <w:spacing w:line="360" w:lineRule="auto"/>
              <w:ind w:firstLine="480" w:firstLineChars="200"/>
              <w:jc w:val="left"/>
              <w:rPr>
                <w:color w:val="auto"/>
                <w:sz w:val="24"/>
              </w:rPr>
            </w:pPr>
            <w:r>
              <w:rPr>
                <w:color w:val="auto"/>
                <w:sz w:val="24"/>
              </w:rPr>
              <w:t>（4）砂卵石碾压填筑</w:t>
            </w:r>
          </w:p>
          <w:p>
            <w:pPr>
              <w:adjustRightInd w:val="0"/>
              <w:snapToGrid w:val="0"/>
              <w:spacing w:line="360" w:lineRule="auto"/>
              <w:ind w:firstLine="480" w:firstLineChars="200"/>
              <w:jc w:val="left"/>
              <w:rPr>
                <w:color w:val="auto"/>
                <w:sz w:val="24"/>
              </w:rPr>
            </w:pPr>
            <w:r>
              <w:rPr>
                <w:color w:val="auto"/>
                <w:sz w:val="24"/>
              </w:rPr>
              <w:t>堤体填筑前，应先清除堤体范围内需清除的表层覆盖土，再回砂卵石料经碾压密实后形成堤体。堤体开挖及填筑时，应注意保护工程河段现有水工建筑物。护岸堤填筑施工，堤体填筑按作业内容分为铺料、洒水、碾压及质检，用进占法铺筑，88kW推土机平仓，铺料厚度不大于0.5m，水管接水池，人工洒水，河堤先13.5t震动碾碾压基础，震动往返不少于8遍，振动碾的行车速度为1.5～2km/h。压实干密度大于20.5g/cm³，相对密度&gt;0.60。振动碾碾压不到位的部位，采用2.8 kW蛙式打夯机夯实。</w:t>
            </w:r>
          </w:p>
          <w:p>
            <w:pPr>
              <w:adjustRightInd w:val="0"/>
              <w:snapToGrid w:val="0"/>
              <w:spacing w:line="360" w:lineRule="auto"/>
              <w:ind w:firstLine="480" w:firstLineChars="200"/>
              <w:jc w:val="left"/>
              <w:rPr>
                <w:color w:val="auto"/>
                <w:sz w:val="24"/>
              </w:rPr>
            </w:pPr>
            <w:r>
              <w:rPr>
                <w:color w:val="auto"/>
                <w:sz w:val="24"/>
              </w:rPr>
              <w:t>（5）砼浇筑</w:t>
            </w:r>
          </w:p>
          <w:p>
            <w:pPr>
              <w:adjustRightInd w:val="0"/>
              <w:snapToGrid w:val="0"/>
              <w:spacing w:line="360" w:lineRule="auto"/>
              <w:ind w:firstLine="480" w:firstLineChars="200"/>
              <w:jc w:val="left"/>
              <w:rPr>
                <w:color w:val="auto"/>
                <w:sz w:val="24"/>
              </w:rPr>
            </w:pPr>
            <w:bookmarkStart w:id="10" w:name="_Toc252999387"/>
            <w:bookmarkStart w:id="11" w:name="_Toc256026556"/>
            <w:bookmarkStart w:id="12" w:name="_Toc256368352"/>
            <w:r>
              <w:rPr>
                <w:color w:val="auto"/>
                <w:sz w:val="24"/>
              </w:rPr>
              <w:t>本工程采用商混浇筑，商品混凝土采用9m</w:t>
            </w:r>
            <w:r>
              <w:rPr>
                <w:color w:val="auto"/>
                <w:sz w:val="24"/>
                <w:vertAlign w:val="superscript"/>
              </w:rPr>
              <w:t>3</w:t>
            </w:r>
            <w:r>
              <w:rPr>
                <w:color w:val="auto"/>
                <w:sz w:val="24"/>
              </w:rPr>
              <w:t>混凝土罐车运输6～8km至施工现场，采用混凝土泵送入仓，施工工艺流程为：施工准备—泵管架设就位—商品混凝土运输就位—混凝土浇筑成型。</w:t>
            </w:r>
          </w:p>
          <w:p>
            <w:pPr>
              <w:adjustRightInd w:val="0"/>
              <w:snapToGrid w:val="0"/>
              <w:spacing w:line="360" w:lineRule="auto"/>
              <w:ind w:firstLine="480" w:firstLineChars="200"/>
              <w:jc w:val="left"/>
              <w:rPr>
                <w:color w:val="auto"/>
                <w:sz w:val="24"/>
              </w:rPr>
            </w:pPr>
            <w:r>
              <w:rPr>
                <w:color w:val="auto"/>
                <w:sz w:val="24"/>
              </w:rPr>
              <w:t>泵送距离30～60m，泵管采用直径200mm无缝钢管，采用汽车吊辅人工沿堤防坡面就位安装，混凝土浇筑时采取由低处向高处进行，插入式振捣器辅人工振捣浇筑，人工抹面平仓。泵送混凝土结束后，及时清理混凝土泵及泵管。</w:t>
            </w:r>
          </w:p>
          <w:bookmarkEnd w:id="10"/>
          <w:bookmarkEnd w:id="11"/>
          <w:bookmarkEnd w:id="12"/>
          <w:p>
            <w:pPr>
              <w:adjustRightInd w:val="0"/>
              <w:snapToGrid w:val="0"/>
              <w:spacing w:line="360" w:lineRule="auto"/>
              <w:ind w:firstLine="480" w:firstLineChars="200"/>
              <w:jc w:val="left"/>
              <w:rPr>
                <w:color w:val="auto"/>
                <w:sz w:val="24"/>
              </w:rPr>
            </w:pPr>
            <w:r>
              <w:rPr>
                <w:color w:val="auto"/>
                <w:sz w:val="24"/>
              </w:rPr>
              <w:t>（6）砼路面工程</w:t>
            </w:r>
          </w:p>
          <w:p>
            <w:pPr>
              <w:adjustRightInd w:val="0"/>
              <w:snapToGrid w:val="0"/>
              <w:spacing w:line="360" w:lineRule="auto"/>
              <w:ind w:firstLine="480" w:firstLineChars="200"/>
              <w:rPr>
                <w:color w:val="auto"/>
                <w:sz w:val="24"/>
              </w:rPr>
            </w:pPr>
            <w:r>
              <w:rPr>
                <w:color w:val="auto"/>
                <w:sz w:val="24"/>
              </w:rPr>
              <w:t>水泥混凝土路面的施工程序为：在基层上测量放样→立模板→混凝土运送到施工现场→摊铺振捣混凝土→真空吸水→机械整平→人工抹平→压纹→养生→切缝→养生。整个过程着重抓好拌和、振捣、整平三个主要环节，以保证混凝土路面的优良率。</w:t>
            </w:r>
          </w:p>
          <w:p>
            <w:pPr>
              <w:adjustRightInd w:val="0"/>
              <w:snapToGrid w:val="0"/>
              <w:spacing w:line="360" w:lineRule="auto"/>
              <w:ind w:firstLine="480" w:firstLineChars="200"/>
              <w:rPr>
                <w:color w:val="auto"/>
                <w:sz w:val="24"/>
              </w:rPr>
            </w:pPr>
            <w:r>
              <w:rPr>
                <w:color w:val="auto"/>
                <w:sz w:val="24"/>
              </w:rPr>
              <w:t>采用0.8m³拌和机现场拌制砼，8t自卸汽车运输至作业面，辅助人工胶轮车运至浇筑区，插入式振捣棒振捣。</w:t>
            </w:r>
          </w:p>
          <w:p>
            <w:pPr>
              <w:adjustRightInd w:val="0"/>
              <w:snapToGrid w:val="0"/>
              <w:spacing w:line="360" w:lineRule="auto"/>
              <w:ind w:firstLine="480" w:firstLineChars="200"/>
              <w:jc w:val="left"/>
              <w:rPr>
                <w:color w:val="auto"/>
                <w:sz w:val="24"/>
              </w:rPr>
            </w:pPr>
            <w:r>
              <w:rPr>
                <w:color w:val="auto"/>
                <w:sz w:val="24"/>
              </w:rPr>
              <w:t>（7）护坡工程</w:t>
            </w:r>
          </w:p>
          <w:p>
            <w:pPr>
              <w:adjustRightInd w:val="0"/>
              <w:snapToGrid w:val="0"/>
              <w:spacing w:line="360" w:lineRule="auto"/>
              <w:ind w:firstLine="480" w:firstLineChars="200"/>
              <w:rPr>
                <w:color w:val="auto"/>
                <w:sz w:val="24"/>
                <w:lang w:val="zh-CN"/>
              </w:rPr>
            </w:pPr>
            <w:r>
              <w:rPr>
                <w:color w:val="auto"/>
                <w:sz w:val="24"/>
              </w:rPr>
              <w:t>①</w:t>
            </w:r>
            <w:r>
              <w:rPr>
                <w:color w:val="auto"/>
                <w:sz w:val="24"/>
                <w:lang w:val="zh-CN"/>
              </w:rPr>
              <w:t>坡面修理：施工前必须清理施工现场碎砖块及杂物，坡面坚实平整，无树根，石块及其他尖状物，修整后的边坡，必须经监理人员验收合格后，方可进行下一道工序施工。</w:t>
            </w:r>
          </w:p>
          <w:p>
            <w:pPr>
              <w:adjustRightInd w:val="0"/>
              <w:snapToGrid w:val="0"/>
              <w:spacing w:line="360" w:lineRule="auto"/>
              <w:ind w:firstLine="480" w:firstLineChars="200"/>
              <w:rPr>
                <w:color w:val="auto"/>
                <w:sz w:val="24"/>
                <w:lang w:val="zh-CN"/>
              </w:rPr>
            </w:pPr>
            <w:r>
              <w:rPr>
                <w:color w:val="auto"/>
                <w:sz w:val="24"/>
              </w:rPr>
              <w:t>②</w:t>
            </w:r>
            <w:r>
              <w:rPr>
                <w:color w:val="auto"/>
                <w:sz w:val="24"/>
                <w:lang w:val="zh-CN"/>
              </w:rPr>
              <w:t>根据图纸设计要求，先浇注深300mm、宽</w:t>
            </w:r>
            <w:r>
              <w:rPr>
                <w:color w:val="auto"/>
                <w:sz w:val="24"/>
              </w:rPr>
              <w:t>200</w:t>
            </w:r>
            <w:r>
              <w:rPr>
                <w:color w:val="auto"/>
                <w:sz w:val="24"/>
                <w:lang w:val="zh-CN"/>
              </w:rPr>
              <w:t>mm的C20砼框格，并每隔</w:t>
            </w:r>
            <w:r>
              <w:rPr>
                <w:color w:val="auto"/>
                <w:sz w:val="24"/>
              </w:rPr>
              <w:t>10</w:t>
            </w:r>
            <w:r>
              <w:rPr>
                <w:color w:val="auto"/>
                <w:sz w:val="24"/>
                <w:lang w:val="zh-CN"/>
              </w:rPr>
              <w:t>m设一道缝，缝内填</w:t>
            </w:r>
            <w:r>
              <w:rPr>
                <w:color w:val="auto"/>
                <w:sz w:val="24"/>
              </w:rPr>
              <w:t>2</w:t>
            </w:r>
            <w:r>
              <w:rPr>
                <w:color w:val="auto"/>
                <w:sz w:val="24"/>
                <w:lang w:val="zh-CN"/>
              </w:rPr>
              <w:t>mm厚闭孔泡沫板，浇筑时要做到浇筑均匀，平整。</w:t>
            </w:r>
          </w:p>
          <w:p>
            <w:pPr>
              <w:adjustRightInd w:val="0"/>
              <w:snapToGrid w:val="0"/>
              <w:spacing w:line="360" w:lineRule="auto"/>
              <w:ind w:firstLine="480" w:firstLineChars="200"/>
              <w:rPr>
                <w:color w:val="auto"/>
                <w:sz w:val="24"/>
                <w:lang w:val="zh-CN"/>
              </w:rPr>
            </w:pPr>
            <w:r>
              <w:rPr>
                <w:color w:val="auto"/>
                <w:sz w:val="24"/>
              </w:rPr>
              <w:t>③</w:t>
            </w:r>
            <w:r>
              <w:rPr>
                <w:color w:val="auto"/>
                <w:sz w:val="24"/>
                <w:lang w:val="zh-CN"/>
              </w:rPr>
              <w:t>加填</w:t>
            </w:r>
            <w:r>
              <w:rPr>
                <w:color w:val="auto"/>
                <w:sz w:val="24"/>
              </w:rPr>
              <w:t>20cm</w:t>
            </w:r>
            <w:r>
              <w:rPr>
                <w:color w:val="auto"/>
                <w:sz w:val="24"/>
                <w:lang w:val="zh-CN"/>
              </w:rPr>
              <w:t>种植土，可提高植草发芽率。回填土应无碎石等杂物、杂质、无块状。回填土的含水率应不小于15%，过干时，可在回填后的土表面少量撒水。回填土切勿过厚，以免草在回填土层过度分蘖，使草与混凝上分离。</w:t>
            </w:r>
          </w:p>
          <w:p>
            <w:pPr>
              <w:adjustRightInd w:val="0"/>
              <w:snapToGrid w:val="0"/>
              <w:spacing w:line="360" w:lineRule="auto"/>
              <w:ind w:firstLine="480" w:firstLineChars="200"/>
              <w:rPr>
                <w:color w:val="auto"/>
                <w:sz w:val="24"/>
                <w:lang w:val="zh-CN"/>
              </w:rPr>
            </w:pPr>
            <w:r>
              <w:rPr>
                <w:color w:val="auto"/>
                <w:sz w:val="24"/>
              </w:rPr>
              <w:t>④</w:t>
            </w:r>
            <w:r>
              <w:rPr>
                <w:color w:val="auto"/>
                <w:sz w:val="24"/>
                <w:lang w:val="zh-CN"/>
              </w:rPr>
              <w:t>播种草籽。</w:t>
            </w:r>
          </w:p>
          <w:p>
            <w:pPr>
              <w:spacing w:line="360" w:lineRule="auto"/>
              <w:rPr>
                <w:b/>
                <w:bCs/>
                <w:color w:val="auto"/>
                <w:sz w:val="24"/>
              </w:rPr>
            </w:pPr>
            <w:r>
              <w:rPr>
                <w:b/>
                <w:bCs/>
                <w:color w:val="auto"/>
                <w:sz w:val="24"/>
              </w:rPr>
              <w:t>二、施工周期</w:t>
            </w:r>
          </w:p>
          <w:p>
            <w:pPr>
              <w:spacing w:line="360" w:lineRule="auto"/>
              <w:ind w:firstLine="482" w:firstLineChars="200"/>
              <w:rPr>
                <w:color w:val="auto"/>
                <w:sz w:val="24"/>
              </w:rPr>
            </w:pPr>
            <w:r>
              <w:rPr>
                <w:b/>
                <w:bCs/>
                <w:color w:val="auto"/>
                <w:sz w:val="24"/>
              </w:rPr>
              <w:t>施工工期：</w:t>
            </w:r>
            <w:r>
              <w:rPr>
                <w:color w:val="auto"/>
                <w:sz w:val="24"/>
              </w:rPr>
              <w:t>本项目施工总工期为8个月，从10月~次年5月进行施工，施工工程分为清淤工程和堤防工程。其中清淤工程在11月份进行，总共施工工期为4个月；堤防工程的建设在10月~次年5月进行，总共施工工期为8个月。</w:t>
            </w:r>
          </w:p>
          <w:p>
            <w:pPr>
              <w:adjustRightInd w:val="0"/>
              <w:snapToGrid w:val="0"/>
              <w:spacing w:line="360" w:lineRule="auto"/>
              <w:ind w:firstLine="482" w:firstLineChars="200"/>
              <w:jc w:val="left"/>
              <w:rPr>
                <w:color w:val="auto"/>
                <w:sz w:val="24"/>
              </w:rPr>
            </w:pPr>
            <w:r>
              <w:rPr>
                <w:b/>
                <w:bCs/>
                <w:color w:val="auto"/>
                <w:sz w:val="24"/>
              </w:rPr>
              <w:t>施工时序：</w:t>
            </w:r>
            <w:r>
              <w:rPr>
                <w:color w:val="auto"/>
                <w:sz w:val="24"/>
              </w:rPr>
              <w:t>施工工程分为清淤工程和堤防工程。从10月~次年5月对清淤工程和堤防工程同时进行施工，本工程所有施工内容应避开雨季施工。</w:t>
            </w:r>
          </w:p>
          <w:p>
            <w:pPr>
              <w:adjustRightInd w:val="0"/>
              <w:snapToGrid w:val="0"/>
              <w:spacing w:line="360" w:lineRule="auto"/>
              <w:ind w:firstLine="482" w:firstLineChars="200"/>
              <w:jc w:val="left"/>
              <w:rPr>
                <w:b/>
                <w:bCs/>
                <w:color w:val="auto"/>
                <w:sz w:val="24"/>
              </w:rPr>
            </w:pPr>
            <w:r>
              <w:rPr>
                <w:b/>
                <w:bCs/>
                <w:color w:val="auto"/>
                <w:sz w:val="24"/>
              </w:rPr>
              <w:t>清淤工程：</w:t>
            </w:r>
          </w:p>
          <w:p>
            <w:pPr>
              <w:adjustRightInd w:val="0"/>
              <w:snapToGrid w:val="0"/>
              <w:spacing w:line="360" w:lineRule="auto"/>
              <w:ind w:firstLine="482" w:firstLineChars="200"/>
              <w:jc w:val="left"/>
              <w:rPr>
                <w:color w:val="auto"/>
                <w:sz w:val="24"/>
              </w:rPr>
            </w:pPr>
            <w:r>
              <w:rPr>
                <w:b/>
                <w:bCs/>
                <w:color w:val="auto"/>
                <w:sz w:val="24"/>
              </w:rPr>
              <w:t>11月：</w:t>
            </w:r>
            <w:r>
              <w:rPr>
                <w:color w:val="auto"/>
                <w:sz w:val="24"/>
              </w:rPr>
              <w:t>开始修建围堰，基坑开挖，保证施工场地干地施工。</w:t>
            </w:r>
          </w:p>
          <w:p>
            <w:pPr>
              <w:adjustRightInd w:val="0"/>
              <w:snapToGrid w:val="0"/>
              <w:spacing w:line="360" w:lineRule="auto"/>
              <w:ind w:firstLine="482" w:firstLineChars="200"/>
              <w:jc w:val="left"/>
              <w:rPr>
                <w:color w:val="auto"/>
                <w:sz w:val="24"/>
              </w:rPr>
            </w:pPr>
            <w:r>
              <w:rPr>
                <w:b/>
                <w:bCs/>
                <w:color w:val="auto"/>
                <w:sz w:val="24"/>
              </w:rPr>
              <w:t>12月～次年1月</w:t>
            </w:r>
            <w:r>
              <w:rPr>
                <w:color w:val="auto"/>
                <w:sz w:val="24"/>
              </w:rPr>
              <w:t>：分成3个施工队伍，同时开始河道疏挖工作，可利用清淤料运至就近临时堆场，</w:t>
            </w:r>
            <w:r>
              <w:rPr>
                <w:rFonts w:hint="eastAsia"/>
                <w:color w:val="auto"/>
                <w:sz w:val="24"/>
                <w:lang w:val="en-US" w:eastAsia="zh-CN"/>
              </w:rPr>
              <w:t>经晾晒</w:t>
            </w:r>
            <w:r>
              <w:rPr>
                <w:color w:val="auto"/>
                <w:sz w:val="24"/>
              </w:rPr>
              <w:t>脱水后合理堆放，用于新建堤防填筑。</w:t>
            </w:r>
          </w:p>
          <w:p>
            <w:pPr>
              <w:adjustRightInd w:val="0"/>
              <w:snapToGrid w:val="0"/>
              <w:spacing w:line="360" w:lineRule="auto"/>
              <w:ind w:firstLine="482" w:firstLineChars="200"/>
              <w:jc w:val="left"/>
              <w:rPr>
                <w:color w:val="auto"/>
                <w:sz w:val="24"/>
              </w:rPr>
            </w:pPr>
            <w:r>
              <w:rPr>
                <w:b/>
                <w:bCs/>
                <w:color w:val="auto"/>
                <w:sz w:val="24"/>
              </w:rPr>
              <w:t>次年2月：</w:t>
            </w:r>
            <w:r>
              <w:rPr>
                <w:color w:val="auto"/>
                <w:sz w:val="24"/>
              </w:rPr>
              <w:t>完成河道疏挖工作，开始进行围堰拆除，将河道恢复至原样。</w:t>
            </w:r>
          </w:p>
          <w:p>
            <w:pPr>
              <w:adjustRightInd w:val="0"/>
              <w:snapToGrid w:val="0"/>
              <w:spacing w:line="360" w:lineRule="auto"/>
              <w:ind w:firstLine="482" w:firstLineChars="200"/>
              <w:jc w:val="left"/>
              <w:rPr>
                <w:b/>
                <w:bCs/>
                <w:color w:val="auto"/>
                <w:sz w:val="24"/>
              </w:rPr>
            </w:pPr>
            <w:r>
              <w:rPr>
                <w:b/>
                <w:bCs/>
                <w:color w:val="auto"/>
                <w:sz w:val="24"/>
              </w:rPr>
              <w:t>堤防工程：</w:t>
            </w:r>
          </w:p>
          <w:p>
            <w:pPr>
              <w:adjustRightInd w:val="0"/>
              <w:snapToGrid w:val="0"/>
              <w:spacing w:line="360" w:lineRule="auto"/>
              <w:ind w:firstLine="482" w:firstLineChars="200"/>
              <w:jc w:val="left"/>
              <w:rPr>
                <w:color w:val="auto"/>
                <w:sz w:val="24"/>
              </w:rPr>
            </w:pPr>
            <w:r>
              <w:rPr>
                <w:b/>
                <w:bCs/>
                <w:color w:val="auto"/>
                <w:sz w:val="24"/>
              </w:rPr>
              <w:t>10月：</w:t>
            </w:r>
            <w:r>
              <w:rPr>
                <w:color w:val="auto"/>
                <w:sz w:val="24"/>
              </w:rPr>
              <w:t>施工现场清理，为后续施工做好准备。</w:t>
            </w:r>
          </w:p>
          <w:p>
            <w:pPr>
              <w:adjustRightInd w:val="0"/>
              <w:snapToGrid w:val="0"/>
              <w:spacing w:line="360" w:lineRule="auto"/>
              <w:ind w:firstLine="482" w:firstLineChars="200"/>
              <w:jc w:val="left"/>
              <w:rPr>
                <w:color w:val="auto"/>
                <w:sz w:val="24"/>
              </w:rPr>
            </w:pPr>
            <w:r>
              <w:rPr>
                <w:b/>
                <w:bCs/>
                <w:color w:val="auto"/>
                <w:sz w:val="24"/>
              </w:rPr>
              <w:t>11月：</w:t>
            </w:r>
            <w:r>
              <w:rPr>
                <w:color w:val="auto"/>
                <w:sz w:val="24"/>
              </w:rPr>
              <w:t>分为3个施工队，第一个施工队开始修建围堰，基坑开挖，保证施工场地干地施工。第二个施工队进行桥梁拆除工作，第三个施工队开始进行土石方开挖，开挖合格砂卵石料作为全部作为利用料，沿堤线堆放至堤后临时堆料场，便于后期回填利用；土方开挖料全部用于施工场地和堆土场迹地恢复。</w:t>
            </w:r>
          </w:p>
          <w:p>
            <w:pPr>
              <w:adjustRightInd w:val="0"/>
              <w:snapToGrid w:val="0"/>
              <w:spacing w:line="360" w:lineRule="auto"/>
              <w:ind w:firstLine="482" w:firstLineChars="200"/>
              <w:jc w:val="left"/>
              <w:rPr>
                <w:color w:val="auto"/>
                <w:sz w:val="24"/>
              </w:rPr>
            </w:pPr>
            <w:r>
              <w:rPr>
                <w:b/>
                <w:bCs/>
                <w:color w:val="auto"/>
                <w:sz w:val="24"/>
              </w:rPr>
              <w:t>12月：</w:t>
            </w:r>
            <w:r>
              <w:rPr>
                <w:color w:val="auto"/>
                <w:sz w:val="24"/>
              </w:rPr>
              <w:t>第三个施工队继续进行土石方开挖，开挖合格砂卵石料作为全部作为利用料，沿堤线堆放至堤后临时堆料场，便于后期回填利用；土方开挖料全部用于施工场地和堆土场迹地恢复。第一个施工队和第二个施工队开始进行堤防修建</w:t>
            </w:r>
            <w:r>
              <w:rPr>
                <w:rFonts w:hint="eastAsia"/>
                <w:color w:val="auto"/>
                <w:sz w:val="24"/>
                <w:lang w:val="en-US" w:eastAsia="zh-CN"/>
              </w:rPr>
              <w:t>及清淤疏浚</w:t>
            </w:r>
            <w:r>
              <w:rPr>
                <w:color w:val="auto"/>
                <w:sz w:val="24"/>
              </w:rPr>
              <w:t>。</w:t>
            </w:r>
          </w:p>
          <w:p>
            <w:pPr>
              <w:adjustRightInd w:val="0"/>
              <w:snapToGrid w:val="0"/>
              <w:spacing w:line="360" w:lineRule="auto"/>
              <w:ind w:firstLine="482" w:firstLineChars="200"/>
              <w:jc w:val="left"/>
              <w:rPr>
                <w:color w:val="auto"/>
                <w:sz w:val="24"/>
              </w:rPr>
            </w:pPr>
            <w:r>
              <w:rPr>
                <w:b/>
                <w:bCs/>
                <w:color w:val="auto"/>
                <w:sz w:val="24"/>
              </w:rPr>
              <w:t>次年1月～次年3月：</w:t>
            </w:r>
            <w:r>
              <w:rPr>
                <w:color w:val="auto"/>
                <w:sz w:val="24"/>
              </w:rPr>
              <w:t>分为4个施工队，将新建堤防分为4段，每个施工队伍负责一段堤防的修建</w:t>
            </w:r>
            <w:r>
              <w:rPr>
                <w:rFonts w:hint="eastAsia"/>
                <w:color w:val="auto"/>
                <w:sz w:val="24"/>
                <w:lang w:val="en-US" w:eastAsia="zh-CN"/>
              </w:rPr>
              <w:t>及对应区域的清淤疏浚</w:t>
            </w:r>
            <w:r>
              <w:rPr>
                <w:color w:val="auto"/>
                <w:sz w:val="24"/>
              </w:rPr>
              <w:t>。</w:t>
            </w:r>
          </w:p>
          <w:p>
            <w:pPr>
              <w:adjustRightInd w:val="0"/>
              <w:snapToGrid w:val="0"/>
              <w:spacing w:line="360" w:lineRule="auto"/>
              <w:ind w:firstLine="482" w:firstLineChars="200"/>
              <w:jc w:val="left"/>
              <w:rPr>
                <w:color w:val="auto"/>
                <w:sz w:val="24"/>
              </w:rPr>
            </w:pPr>
            <w:r>
              <w:rPr>
                <w:b/>
                <w:bCs/>
                <w:color w:val="auto"/>
                <w:sz w:val="24"/>
              </w:rPr>
              <w:t>次年4月：</w:t>
            </w:r>
            <w:r>
              <w:rPr>
                <w:color w:val="auto"/>
                <w:sz w:val="24"/>
              </w:rPr>
              <w:t>堤防修建完毕，在3月底开始进行围堰拆除工作，恢复河道生态。</w:t>
            </w:r>
          </w:p>
          <w:p>
            <w:pPr>
              <w:adjustRightInd w:val="0"/>
              <w:snapToGrid w:val="0"/>
              <w:spacing w:line="360" w:lineRule="auto"/>
              <w:ind w:firstLine="482" w:firstLineChars="200"/>
              <w:jc w:val="left"/>
              <w:rPr>
                <w:color w:val="auto"/>
                <w:sz w:val="24"/>
              </w:rPr>
            </w:pPr>
            <w:r>
              <w:rPr>
                <w:b/>
                <w:bCs/>
                <w:color w:val="auto"/>
                <w:sz w:val="24"/>
              </w:rPr>
              <w:t>次年5月：</w:t>
            </w:r>
            <w:r>
              <w:rPr>
                <w:color w:val="auto"/>
                <w:sz w:val="24"/>
              </w:rPr>
              <w:t>工程竣工。</w:t>
            </w:r>
          </w:p>
          <w:p>
            <w:pPr>
              <w:pStyle w:val="63"/>
              <w:numPr>
                <w:ilvl w:val="0"/>
                <w:numId w:val="6"/>
              </w:numPr>
              <w:adjustRightInd w:val="0"/>
              <w:snapToGrid w:val="0"/>
              <w:rPr>
                <w:b/>
                <w:color w:val="auto"/>
                <w:szCs w:val="21"/>
              </w:rPr>
            </w:pPr>
            <w:r>
              <w:rPr>
                <w:b/>
                <w:color w:val="auto"/>
                <w:szCs w:val="21"/>
              </w:rPr>
              <w:t>施工工期安排</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1056"/>
              <w:gridCol w:w="1056"/>
              <w:gridCol w:w="1059"/>
              <w:gridCol w:w="849"/>
              <w:gridCol w:w="849"/>
              <w:gridCol w:w="849"/>
              <w:gridCol w:w="849"/>
              <w:gridCol w:w="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3" w:type="pct"/>
                  <w:vAlign w:val="center"/>
                </w:tcPr>
                <w:p>
                  <w:pPr>
                    <w:widowControl/>
                    <w:jc w:val="center"/>
                    <w:textAlignment w:val="bottom"/>
                    <w:rPr>
                      <w:b/>
                      <w:bCs/>
                      <w:color w:val="auto"/>
                      <w:kern w:val="0"/>
                      <w:szCs w:val="21"/>
                      <w:lang w:bidi="ar"/>
                    </w:rPr>
                  </w:pPr>
                  <w:r>
                    <w:rPr>
                      <w:b/>
                      <w:bCs/>
                      <w:color w:val="auto"/>
                      <w:kern w:val="0"/>
                      <w:szCs w:val="21"/>
                      <w:lang w:bidi="ar"/>
                    </w:rPr>
                    <w:t>项目</w:t>
                  </w:r>
                </w:p>
                <w:p>
                  <w:pPr>
                    <w:widowControl/>
                    <w:jc w:val="center"/>
                    <w:textAlignment w:val="bottom"/>
                    <w:rPr>
                      <w:b/>
                      <w:bCs/>
                      <w:color w:val="auto"/>
                      <w:kern w:val="0"/>
                      <w:szCs w:val="21"/>
                      <w:lang w:bidi="ar"/>
                    </w:rPr>
                  </w:pPr>
                  <w:r>
                    <w:rPr>
                      <w:b/>
                      <w:bCs/>
                      <w:color w:val="auto"/>
                      <w:kern w:val="0"/>
                      <w:szCs w:val="21"/>
                      <w:lang w:bidi="ar"/>
                    </w:rPr>
                    <w:t>名称</w:t>
                  </w:r>
                </w:p>
              </w:tc>
              <w:tc>
                <w:tcPr>
                  <w:tcW w:w="4376" w:type="pct"/>
                  <w:gridSpan w:val="8"/>
                  <w:vAlign w:val="center"/>
                </w:tcPr>
                <w:p>
                  <w:pPr>
                    <w:widowControl/>
                    <w:jc w:val="center"/>
                    <w:textAlignment w:val="bottom"/>
                    <w:rPr>
                      <w:b/>
                      <w:bCs/>
                      <w:color w:val="auto"/>
                      <w:kern w:val="0"/>
                      <w:szCs w:val="21"/>
                      <w:lang w:bidi="ar"/>
                    </w:rPr>
                  </w:pPr>
                  <w:r>
                    <w:rPr>
                      <w:b/>
                      <w:bCs/>
                      <w:color w:val="auto"/>
                      <w:kern w:val="0"/>
                      <w:szCs w:val="21"/>
                      <w:lang w:bidi="ar"/>
                    </w:rPr>
                    <w:t>四川省朝天区广坪河羊木段防洪治理工程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w:t>年份</w:t>
                  </w:r>
                </w:p>
              </w:tc>
              <w:tc>
                <w:tcPr>
                  <w:tcW w:w="1871" w:type="pct"/>
                  <w:gridSpan w:val="3"/>
                  <w:vAlign w:val="center"/>
                </w:tcPr>
                <w:p>
                  <w:pPr>
                    <w:widowControl/>
                    <w:jc w:val="center"/>
                    <w:textAlignment w:val="bottom"/>
                    <w:rPr>
                      <w:color w:val="auto"/>
                      <w:kern w:val="0"/>
                      <w:szCs w:val="21"/>
                      <w:lang w:bidi="ar"/>
                    </w:rPr>
                  </w:pPr>
                  <w:r>
                    <w:rPr>
                      <w:color w:val="auto"/>
                      <w:kern w:val="0"/>
                      <w:szCs w:val="21"/>
                      <w:lang w:bidi="ar"/>
                    </w:rPr>
                    <w:t>第1年</w:t>
                  </w:r>
                </w:p>
              </w:tc>
              <w:tc>
                <w:tcPr>
                  <w:tcW w:w="2505" w:type="pct"/>
                  <w:gridSpan w:val="5"/>
                  <w:vAlign w:val="center"/>
                </w:tcPr>
                <w:p>
                  <w:pPr>
                    <w:widowControl/>
                    <w:jc w:val="center"/>
                    <w:textAlignment w:val="bottom"/>
                    <w:rPr>
                      <w:color w:val="auto"/>
                      <w:kern w:val="0"/>
                      <w:szCs w:val="21"/>
                      <w:lang w:bidi="ar"/>
                    </w:rPr>
                  </w:pPr>
                  <w:r>
                    <w:rPr>
                      <w:color w:val="auto"/>
                      <w:kern w:val="0"/>
                      <w:szCs w:val="21"/>
                      <w:lang w:bidi="ar"/>
                    </w:rPr>
                    <w:t>第2年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w:t>月份</w:t>
                  </w:r>
                </w:p>
              </w:tc>
              <w:tc>
                <w:tcPr>
                  <w:tcW w:w="623" w:type="pct"/>
                  <w:vAlign w:val="center"/>
                </w:tcPr>
                <w:p>
                  <w:pPr>
                    <w:widowControl/>
                    <w:jc w:val="center"/>
                    <w:textAlignment w:val="bottom"/>
                    <w:rPr>
                      <w:color w:val="auto"/>
                      <w:kern w:val="0"/>
                      <w:szCs w:val="21"/>
                      <w:lang w:bidi="ar"/>
                    </w:rPr>
                  </w:pPr>
                  <w:r>
                    <w:rPr>
                      <w:color w:val="auto"/>
                      <w:kern w:val="0"/>
                      <w:szCs w:val="21"/>
                      <w:lang w:bidi="ar"/>
                    </w:rPr>
                    <w:t>10月</w:t>
                  </w:r>
                </w:p>
              </w:tc>
              <w:tc>
                <w:tcPr>
                  <w:tcW w:w="623" w:type="pct"/>
                  <w:vAlign w:val="center"/>
                </w:tcPr>
                <w:p>
                  <w:pPr>
                    <w:widowControl/>
                    <w:jc w:val="center"/>
                    <w:textAlignment w:val="bottom"/>
                    <w:rPr>
                      <w:color w:val="auto"/>
                      <w:kern w:val="0"/>
                      <w:szCs w:val="21"/>
                      <w:lang w:bidi="ar"/>
                    </w:rPr>
                  </w:pPr>
                  <w:r>
                    <w:rPr>
                      <w:color w:val="auto"/>
                      <w:kern w:val="0"/>
                      <w:szCs w:val="21"/>
                      <w:lang w:bidi="ar"/>
                    </w:rPr>
                    <w:t>11月</w:t>
                  </w:r>
                </w:p>
              </w:tc>
              <w:tc>
                <w:tcPr>
                  <w:tcW w:w="624" w:type="pct"/>
                  <w:vAlign w:val="center"/>
                </w:tcPr>
                <w:p>
                  <w:pPr>
                    <w:widowControl/>
                    <w:jc w:val="center"/>
                    <w:textAlignment w:val="bottom"/>
                    <w:rPr>
                      <w:color w:val="auto"/>
                      <w:kern w:val="0"/>
                      <w:szCs w:val="21"/>
                      <w:lang w:bidi="ar"/>
                    </w:rPr>
                  </w:pPr>
                  <w:r>
                    <w:rPr>
                      <w:color w:val="auto"/>
                      <w:kern w:val="0"/>
                      <w:szCs w:val="21"/>
                      <w:lang w:bidi="ar"/>
                    </w:rPr>
                    <w:t>12月</w:t>
                  </w:r>
                </w:p>
              </w:tc>
              <w:tc>
                <w:tcPr>
                  <w:tcW w:w="501" w:type="pct"/>
                  <w:vAlign w:val="center"/>
                </w:tcPr>
                <w:p>
                  <w:pPr>
                    <w:widowControl/>
                    <w:jc w:val="center"/>
                    <w:textAlignment w:val="bottom"/>
                    <w:rPr>
                      <w:color w:val="auto"/>
                      <w:kern w:val="0"/>
                      <w:szCs w:val="21"/>
                      <w:lang w:bidi="ar"/>
                    </w:rPr>
                  </w:pPr>
                  <w:r>
                    <w:rPr>
                      <w:color w:val="auto"/>
                      <w:kern w:val="0"/>
                      <w:szCs w:val="21"/>
                      <w:lang w:bidi="ar"/>
                    </w:rPr>
                    <w:t>1月</w:t>
                  </w:r>
                </w:p>
              </w:tc>
              <w:tc>
                <w:tcPr>
                  <w:tcW w:w="501" w:type="pct"/>
                  <w:vAlign w:val="center"/>
                </w:tcPr>
                <w:p>
                  <w:pPr>
                    <w:widowControl/>
                    <w:jc w:val="center"/>
                    <w:textAlignment w:val="bottom"/>
                    <w:rPr>
                      <w:color w:val="auto"/>
                      <w:kern w:val="0"/>
                      <w:szCs w:val="21"/>
                      <w:lang w:bidi="ar"/>
                    </w:rPr>
                  </w:pPr>
                  <w:r>
                    <w:rPr>
                      <w:color w:val="auto"/>
                      <w:kern w:val="0"/>
                      <w:szCs w:val="21"/>
                      <w:lang w:bidi="ar"/>
                    </w:rPr>
                    <w:t>2月</w:t>
                  </w:r>
                </w:p>
              </w:tc>
              <w:tc>
                <w:tcPr>
                  <w:tcW w:w="501" w:type="pct"/>
                  <w:vAlign w:val="center"/>
                </w:tcPr>
                <w:p>
                  <w:pPr>
                    <w:widowControl/>
                    <w:jc w:val="center"/>
                    <w:textAlignment w:val="bottom"/>
                    <w:rPr>
                      <w:color w:val="auto"/>
                      <w:kern w:val="0"/>
                      <w:szCs w:val="21"/>
                      <w:lang w:bidi="ar"/>
                    </w:rPr>
                  </w:pPr>
                  <w:r>
                    <w:rPr>
                      <w:color w:val="auto"/>
                      <w:kern w:val="0"/>
                      <w:szCs w:val="21"/>
                      <w:lang w:bidi="ar"/>
                    </w:rPr>
                    <w:t>3月</w:t>
                  </w:r>
                </w:p>
              </w:tc>
              <w:tc>
                <w:tcPr>
                  <w:tcW w:w="501" w:type="pct"/>
                  <w:vAlign w:val="center"/>
                </w:tcPr>
                <w:p>
                  <w:pPr>
                    <w:widowControl/>
                    <w:jc w:val="center"/>
                    <w:textAlignment w:val="bottom"/>
                    <w:rPr>
                      <w:color w:val="auto"/>
                      <w:kern w:val="0"/>
                      <w:szCs w:val="21"/>
                      <w:lang w:bidi="ar"/>
                    </w:rPr>
                  </w:pPr>
                  <w:r>
                    <w:rPr>
                      <w:color w:val="auto"/>
                      <w:kern w:val="0"/>
                      <w:szCs w:val="21"/>
                      <w:lang w:bidi="ar"/>
                    </w:rPr>
                    <w:t>4月</w:t>
                  </w:r>
                </w:p>
              </w:tc>
              <w:tc>
                <w:tcPr>
                  <w:tcW w:w="501" w:type="pct"/>
                  <w:vAlign w:val="center"/>
                </w:tcPr>
                <w:p>
                  <w:pPr>
                    <w:widowControl/>
                    <w:jc w:val="center"/>
                    <w:textAlignment w:val="bottom"/>
                    <w:rPr>
                      <w:color w:val="auto"/>
                      <w:kern w:val="0"/>
                      <w:szCs w:val="21"/>
                      <w:lang w:bidi="ar"/>
                    </w:rPr>
                  </w:pPr>
                  <w:r>
                    <w:rPr>
                      <w:color w:val="auto"/>
                      <w:kern w:val="0"/>
                      <w:szCs w:val="21"/>
                      <w:lang w:bidi="ar"/>
                    </w:rPr>
                    <w:t>5月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mc:AlternateContent>
                      <mc:Choice Requires="wps">
                        <w:drawing>
                          <wp:anchor distT="0" distB="0" distL="114300" distR="114300" simplePos="0" relativeHeight="251661312" behindDoc="0" locked="0" layoutInCell="1" allowOverlap="1">
                            <wp:simplePos x="0" y="0"/>
                            <wp:positionH relativeFrom="column">
                              <wp:posOffset>671195</wp:posOffset>
                            </wp:positionH>
                            <wp:positionV relativeFrom="paragraph">
                              <wp:posOffset>181610</wp:posOffset>
                            </wp:positionV>
                            <wp:extent cx="756285" cy="3810"/>
                            <wp:effectExtent l="0" t="0" r="0" b="0"/>
                            <wp:wrapNone/>
                            <wp:docPr id="31" name="直接连接符 31"/>
                            <wp:cNvGraphicFramePr/>
                            <a:graphic xmlns:a="http://schemas.openxmlformats.org/drawingml/2006/main">
                              <a:graphicData uri="http://schemas.microsoft.com/office/word/2010/wordprocessingShape">
                                <wps:wsp>
                                  <wps:cNvCnPr/>
                                  <wps:spPr>
                                    <a:xfrm>
                                      <a:off x="0" y="0"/>
                                      <a:ext cx="756285" cy="3810"/>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52.85pt;margin-top:14.3pt;height:0.3pt;width:59.55pt;z-index:251661312;mso-width-relative:page;mso-height-relative:page;" filled="f" stroked="t" coordsize="21600,21600" o:gfxdata="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J8G5HWAAAACQEAAA8AAAAAAAAAAQAgAAAAIgAAAGRycy9kb3ducmV2LnhtbFBLAQIUABQA&#10;AAAIAIdO4kDe88Cc8gEAAN0DAAAOAAAAAAAAAAEAIAAAACUBAABkcnMvZTJvRG9jLnhtbFBLBQYA&#10;AAAABgAGAFkBAACJBQAAAAA=&#10;">
                            <v:fill on="f" focussize="0,0"/>
                            <v:stroke weight="1.5pt" color="#000000" joinstyle="round"/>
                            <v:imagedata o:title=""/>
                            <o:lock v:ext="edit" aspectratio="f"/>
                          </v:line>
                        </w:pict>
                      </mc:Fallback>
                    </mc:AlternateContent>
                  </w:r>
                  <w:r>
                    <w:rPr>
                      <w:color w:val="auto"/>
                      <w:kern w:val="0"/>
                      <w:szCs w:val="21"/>
                      <w:lang w:bidi="ar"/>
                    </w:rPr>
                    <w:t>施工筹建准备</w:t>
                  </w:r>
                </w:p>
              </w:tc>
              <w:tc>
                <w:tcPr>
                  <w:tcW w:w="623" w:type="pct"/>
                  <w:vAlign w:val="center"/>
                </w:tcPr>
                <w:p>
                  <w:pPr>
                    <w:widowControl/>
                    <w:jc w:val="center"/>
                    <w:textAlignment w:val="bottom"/>
                    <w:rPr>
                      <w:color w:val="auto"/>
                      <w:kern w:val="0"/>
                      <w:szCs w:val="21"/>
                      <w:lang w:bidi="ar"/>
                    </w:rPr>
                  </w:pPr>
                  <w:r>
                    <w:rPr>
                      <w:color w:val="auto"/>
                      <w:kern w:val="0"/>
                      <w:szCs w:val="21"/>
                      <w:lang w:bidi="ar"/>
                    </w:rPr>
                    <w:t xml:space="preserve"> </w:t>
                  </w:r>
                </w:p>
              </w:tc>
              <w:tc>
                <w:tcPr>
                  <w:tcW w:w="623" w:type="pct"/>
                  <w:vAlign w:val="center"/>
                </w:tcPr>
                <w:p>
                  <w:pPr>
                    <w:widowControl/>
                    <w:jc w:val="center"/>
                    <w:textAlignment w:val="bottom"/>
                    <w:rPr>
                      <w:color w:val="auto"/>
                      <w:kern w:val="0"/>
                      <w:szCs w:val="21"/>
                      <w:lang w:bidi="ar"/>
                    </w:rPr>
                  </w:pPr>
                </w:p>
              </w:tc>
              <w:tc>
                <w:tcPr>
                  <w:tcW w:w="624"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w:t>基坑</w:t>
                  </w:r>
                </w:p>
                <w:p>
                  <w:pPr>
                    <w:widowControl/>
                    <w:jc w:val="center"/>
                    <w:textAlignment w:val="bottom"/>
                    <w:rPr>
                      <w:color w:val="auto"/>
                      <w:kern w:val="0"/>
                      <w:szCs w:val="21"/>
                      <w:lang w:bidi="ar"/>
                    </w:rPr>
                  </w:pPr>
                  <w:r>
                    <w:rPr>
                      <w:color w:val="auto"/>
                      <w:kern w:val="0"/>
                      <w:szCs w:val="21"/>
                      <w:lang w:bidi="ar"/>
                    </w:rPr>
                    <w:t>开挖</w:t>
                  </w:r>
                </w:p>
              </w:tc>
              <w:tc>
                <w:tcPr>
                  <w:tcW w:w="623" w:type="pct"/>
                  <w:vAlign w:val="center"/>
                </w:tcPr>
                <w:p>
                  <w:pPr>
                    <w:widowControl/>
                    <w:jc w:val="center"/>
                    <w:textAlignment w:val="bottom"/>
                    <w:rPr>
                      <w:color w:val="auto"/>
                      <w:kern w:val="0"/>
                      <w:szCs w:val="21"/>
                      <w:lang w:bidi="ar"/>
                    </w:rPr>
                  </w:pPr>
                  <w:r>
                    <w:rPr>
                      <w:color w:val="auto"/>
                      <w:kern w:val="0"/>
                      <w:szCs w:val="21"/>
                      <w:lang w:bidi="ar"/>
                    </w:rPr>
                    <mc:AlternateContent>
                      <mc:Choice Requires="wps">
                        <w:drawing>
                          <wp:anchor distT="0" distB="0" distL="114300" distR="114300" simplePos="0" relativeHeight="251662336" behindDoc="0" locked="0" layoutInCell="1" allowOverlap="1">
                            <wp:simplePos x="0" y="0"/>
                            <wp:positionH relativeFrom="column">
                              <wp:posOffset>668020</wp:posOffset>
                            </wp:positionH>
                            <wp:positionV relativeFrom="paragraph">
                              <wp:posOffset>219075</wp:posOffset>
                            </wp:positionV>
                            <wp:extent cx="2616835" cy="9525"/>
                            <wp:effectExtent l="0" t="0" r="0" b="0"/>
                            <wp:wrapNone/>
                            <wp:docPr id="33" name="直接连接符 33"/>
                            <wp:cNvGraphicFramePr/>
                            <a:graphic xmlns:a="http://schemas.openxmlformats.org/drawingml/2006/main">
                              <a:graphicData uri="http://schemas.microsoft.com/office/word/2010/wordprocessingShape">
                                <wps:wsp>
                                  <wps:cNvCnPr/>
                                  <wps:spPr>
                                    <a:xfrm flipV="1">
                                      <a:off x="0" y="0"/>
                                      <a:ext cx="2616835" cy="9525"/>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y;margin-left:52.6pt;margin-top:17.25pt;height:0.75pt;width:206.05pt;z-index:251662336;mso-width-relative:page;mso-height-relative:page;" filled="f" stroked="t" coordsize="21600,21600" o:gfxdata="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mgOI7WAAAACQEAAA8AAAAAAAAAAQAgAAAAIgAAAGRycy9kb3ducmV2LnhtbFBL&#10;AQIUABQAAAAIAIdO4kBhXMui+AEAAOgDAAAOAAAAAAAAAAEAIAAAACUBAABkcnMvZTJvRG9jLnht&#10;bFBLBQYAAAAABgAGAFkBAACPBQAAAAA=&#10;">
                            <v:fill on="f" focussize="0,0"/>
                            <v:stroke weight="1.5pt" color="#000000" joinstyle="round"/>
                            <v:imagedata o:title=""/>
                            <o:lock v:ext="edit" aspectratio="f"/>
                          </v:line>
                        </w:pict>
                      </mc:Fallback>
                    </mc:AlternateContent>
                  </w:r>
                  <w:r>
                    <w:rPr>
                      <w:color w:val="auto"/>
                      <w:kern w:val="0"/>
                      <w:szCs w:val="21"/>
                      <w:lang w:bidi="ar"/>
                    </w:rPr>
                    <w:t xml:space="preserve"> </w:t>
                  </w:r>
                </w:p>
              </w:tc>
              <w:tc>
                <w:tcPr>
                  <w:tcW w:w="623" w:type="pct"/>
                  <w:vAlign w:val="center"/>
                </w:tcPr>
                <w:p>
                  <w:pPr>
                    <w:widowControl/>
                    <w:jc w:val="center"/>
                    <w:textAlignment w:val="bottom"/>
                    <w:rPr>
                      <w:color w:val="auto"/>
                      <w:kern w:val="0"/>
                      <w:szCs w:val="21"/>
                      <w:lang w:bidi="ar"/>
                    </w:rPr>
                  </w:pPr>
                </w:p>
              </w:tc>
              <w:tc>
                <w:tcPr>
                  <w:tcW w:w="624"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w:t>基础砼浇筑</w:t>
                  </w:r>
                </w:p>
              </w:tc>
              <w:tc>
                <w:tcPr>
                  <w:tcW w:w="623" w:type="pct"/>
                  <w:vAlign w:val="center"/>
                </w:tcPr>
                <w:p>
                  <w:pPr>
                    <w:widowControl/>
                    <w:jc w:val="center"/>
                    <w:textAlignment w:val="bottom"/>
                    <w:rPr>
                      <w:color w:val="auto"/>
                      <w:kern w:val="0"/>
                      <w:szCs w:val="21"/>
                      <w:lang w:bidi="ar"/>
                    </w:rPr>
                  </w:pPr>
                </w:p>
              </w:tc>
              <w:tc>
                <w:tcPr>
                  <w:tcW w:w="623" w:type="pct"/>
                  <w:vAlign w:val="center"/>
                </w:tcPr>
                <w:p>
                  <w:pPr>
                    <w:widowControl/>
                    <w:jc w:val="center"/>
                    <w:textAlignment w:val="bottom"/>
                    <w:rPr>
                      <w:color w:val="auto"/>
                      <w:kern w:val="0"/>
                      <w:szCs w:val="21"/>
                      <w:lang w:bidi="ar"/>
                    </w:rPr>
                  </w:pPr>
                  <w:r>
                    <w:rPr>
                      <w:color w:val="auto"/>
                      <w:kern w:val="0"/>
                      <w:szCs w:val="21"/>
                      <w:lang w:bidi="ar"/>
                    </w:rPr>
                    <mc:AlternateContent>
                      <mc:Choice Requires="wps">
                        <w:drawing>
                          <wp:anchor distT="0" distB="0" distL="114300" distR="114300" simplePos="0" relativeHeight="251666432" behindDoc="0" locked="0" layoutInCell="1" allowOverlap="1">
                            <wp:simplePos x="0" y="0"/>
                            <wp:positionH relativeFrom="column">
                              <wp:posOffset>307340</wp:posOffset>
                            </wp:positionH>
                            <wp:positionV relativeFrom="paragraph">
                              <wp:posOffset>168275</wp:posOffset>
                            </wp:positionV>
                            <wp:extent cx="2565400" cy="6350"/>
                            <wp:effectExtent l="0" t="0" r="0" b="0"/>
                            <wp:wrapNone/>
                            <wp:docPr id="32" name="直接连接符 32"/>
                            <wp:cNvGraphicFramePr/>
                            <a:graphic xmlns:a="http://schemas.openxmlformats.org/drawingml/2006/main">
                              <a:graphicData uri="http://schemas.microsoft.com/office/word/2010/wordprocessingShape">
                                <wps:wsp>
                                  <wps:cNvCnPr/>
                                  <wps:spPr>
                                    <a:xfrm flipV="1">
                                      <a:off x="0" y="0"/>
                                      <a:ext cx="2565400" cy="6350"/>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y;margin-left:24.2pt;margin-top:13.25pt;height:0.5pt;width:202pt;z-index:251666432;mso-width-relative:page;mso-height-relative:page;" filled="f" stroked="t" coordsize="21600,21600" o:gfxdata="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jbyee1gAAAAgBAAAPAAAAAAAAAAEAIAAAACIAAABkcnMvZG93bnJldi54bWxQ&#10;SwECFAAUAAAACACHTuJAmnbHpPkBAADoAwAADgAAAAAAAAABACAAAAAlAQAAZHJzL2Uyb0RvYy54&#10;bWxQSwUGAAAAAAYABgBZAQAAkAUAAAAA&#10;">
                            <v:fill on="f" focussize="0,0"/>
                            <v:stroke weight="1.5pt" color="#000000" joinstyle="round"/>
                            <v:imagedata o:title=""/>
                            <o:lock v:ext="edit" aspectratio="f"/>
                          </v:line>
                        </w:pict>
                      </mc:Fallback>
                    </mc:AlternateContent>
                  </w:r>
                </w:p>
              </w:tc>
              <w:tc>
                <w:tcPr>
                  <w:tcW w:w="624"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3" w:type="pct"/>
                  <w:vAlign w:val="center"/>
                </w:tcPr>
                <w:p>
                  <w:pPr>
                    <w:widowControl/>
                    <w:jc w:val="center"/>
                    <w:textAlignment w:val="bottom"/>
                    <w:rPr>
                      <w:rFonts w:hint="eastAsia"/>
                      <w:color w:val="auto"/>
                      <w:kern w:val="0"/>
                      <w:szCs w:val="21"/>
                      <w:lang w:val="en-US" w:eastAsia="zh-CN" w:bidi="ar"/>
                    </w:rPr>
                  </w:pPr>
                  <w:r>
                    <w:rPr>
                      <w:rFonts w:hint="eastAsia"/>
                      <w:color w:val="auto"/>
                      <w:kern w:val="0"/>
                      <w:szCs w:val="21"/>
                      <w:lang w:val="en-US" w:eastAsia="zh-CN" w:bidi="ar"/>
                    </w:rPr>
                    <w:t>清淤</w:t>
                  </w:r>
                </w:p>
                <w:p>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疏浚</w:t>
                  </w:r>
                </w:p>
              </w:tc>
              <w:tc>
                <w:tcPr>
                  <w:tcW w:w="623" w:type="pct"/>
                  <w:vAlign w:val="center"/>
                </w:tcPr>
                <w:p>
                  <w:pPr>
                    <w:widowControl/>
                    <w:jc w:val="center"/>
                    <w:textAlignment w:val="bottom"/>
                    <w:rPr>
                      <w:color w:val="auto"/>
                      <w:kern w:val="0"/>
                      <w:szCs w:val="21"/>
                      <w:lang w:bidi="ar"/>
                    </w:rPr>
                  </w:pPr>
                </w:p>
              </w:tc>
              <w:tc>
                <w:tcPr>
                  <w:tcW w:w="623" w:type="pct"/>
                  <w:vAlign w:val="center"/>
                </w:tcPr>
                <w:p>
                  <w:pPr>
                    <w:widowControl/>
                    <w:jc w:val="center"/>
                    <w:textAlignment w:val="bottom"/>
                    <w:rPr>
                      <w:color w:val="auto"/>
                      <w:kern w:val="0"/>
                      <w:szCs w:val="21"/>
                      <w:lang w:bidi="ar"/>
                    </w:rPr>
                  </w:pPr>
                  <w:r>
                    <w:rPr>
                      <w:color w:val="auto"/>
                      <w:kern w:val="0"/>
                      <w:szCs w:val="21"/>
                      <w:lang w:bidi="ar"/>
                    </w:rPr>
                    <mc:AlternateContent>
                      <mc:Choice Requires="wps">
                        <w:drawing>
                          <wp:anchor distT="0" distB="0" distL="114300" distR="114300" simplePos="0" relativeHeight="251667456" behindDoc="0" locked="0" layoutInCell="1" allowOverlap="1">
                            <wp:simplePos x="0" y="0"/>
                            <wp:positionH relativeFrom="column">
                              <wp:posOffset>601345</wp:posOffset>
                            </wp:positionH>
                            <wp:positionV relativeFrom="paragraph">
                              <wp:posOffset>182880</wp:posOffset>
                            </wp:positionV>
                            <wp:extent cx="2285365" cy="4445"/>
                            <wp:effectExtent l="0" t="0" r="0" b="0"/>
                            <wp:wrapNone/>
                            <wp:docPr id="3" name="直接连接符 3"/>
                            <wp:cNvGraphicFramePr/>
                            <a:graphic xmlns:a="http://schemas.openxmlformats.org/drawingml/2006/main">
                              <a:graphicData uri="http://schemas.microsoft.com/office/word/2010/wordprocessingShape">
                                <wps:wsp>
                                  <wps:cNvCnPr/>
                                  <wps:spPr>
                                    <a:xfrm>
                                      <a:off x="0" y="0"/>
                                      <a:ext cx="2285365" cy="4445"/>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47.35pt;margin-top:14.4pt;height:0.35pt;width:179.95pt;z-index:251667456;mso-width-relative:page;mso-height-relative:page;" filled="f" stroked="t" coordsize="21600,21600" o:gfxdata="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C4JYXWAAAACAEAAA8AAAAAAAAAAQAgAAAAIgAAAGRycy9kb3ducmV2LnhtbFBLAQIUABQAAAAI&#10;AIdO4kDszXN37wEAANwDAAAOAAAAAAAAAAEAIAAAACUBAABkcnMvZTJvRG9jLnhtbFBLBQYAAAAA&#10;BgAGAFkBAACGBQAAAAA=&#10;">
                            <v:fill on="f" focussize="0,0"/>
                            <v:stroke weight="1.5pt" color="#000000" joinstyle="round"/>
                            <v:imagedata o:title=""/>
                            <o:lock v:ext="edit" aspectratio="f"/>
                          </v:line>
                        </w:pict>
                      </mc:Fallback>
                    </mc:AlternateContent>
                  </w:r>
                </w:p>
              </w:tc>
              <w:tc>
                <w:tcPr>
                  <w:tcW w:w="624"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w:t>堤身</w:t>
                  </w:r>
                </w:p>
                <w:p>
                  <w:pPr>
                    <w:widowControl/>
                    <w:jc w:val="center"/>
                    <w:textAlignment w:val="bottom"/>
                    <w:rPr>
                      <w:color w:val="auto"/>
                      <w:kern w:val="0"/>
                      <w:szCs w:val="21"/>
                      <w:lang w:bidi="ar"/>
                    </w:rPr>
                  </w:pPr>
                  <w:r>
                    <w:rPr>
                      <w:color w:val="auto"/>
                      <w:kern w:val="0"/>
                      <w:szCs w:val="21"/>
                      <w:lang w:bidi="ar"/>
                    </w:rPr>
                    <w:t>回填</w:t>
                  </w:r>
                </w:p>
              </w:tc>
              <w:tc>
                <w:tcPr>
                  <w:tcW w:w="623" w:type="pct"/>
                  <w:vAlign w:val="center"/>
                </w:tcPr>
                <w:p>
                  <w:pPr>
                    <w:widowControl/>
                    <w:jc w:val="center"/>
                    <w:textAlignment w:val="bottom"/>
                    <w:rPr>
                      <w:color w:val="auto"/>
                      <w:kern w:val="0"/>
                      <w:szCs w:val="21"/>
                      <w:lang w:bidi="ar"/>
                    </w:rPr>
                  </w:pPr>
                </w:p>
              </w:tc>
              <w:tc>
                <w:tcPr>
                  <w:tcW w:w="623" w:type="pct"/>
                  <w:vAlign w:val="center"/>
                </w:tcPr>
                <w:p>
                  <w:pPr>
                    <w:widowControl/>
                    <w:jc w:val="center"/>
                    <w:textAlignment w:val="bottom"/>
                    <w:rPr>
                      <w:color w:val="auto"/>
                      <w:kern w:val="0"/>
                      <w:szCs w:val="21"/>
                      <w:lang w:bidi="ar"/>
                    </w:rPr>
                  </w:pPr>
                </w:p>
              </w:tc>
              <w:tc>
                <w:tcPr>
                  <w:tcW w:w="624" w:type="pct"/>
                  <w:vAlign w:val="center"/>
                </w:tcPr>
                <w:p>
                  <w:pPr>
                    <w:widowControl/>
                    <w:jc w:val="center"/>
                    <w:textAlignment w:val="bottom"/>
                    <w:rPr>
                      <w:color w:val="auto"/>
                      <w:kern w:val="0"/>
                      <w:szCs w:val="21"/>
                      <w:lang w:bidi="ar"/>
                    </w:rPr>
                  </w:pPr>
                  <w:r>
                    <w:rPr>
                      <w:color w:val="auto"/>
                      <w:kern w:val="0"/>
                      <w:szCs w:val="21"/>
                      <w:lang w:bidi="ar"/>
                    </w:rPr>
                    <mc:AlternateContent>
                      <mc:Choice Requires="wps">
                        <w:drawing>
                          <wp:anchor distT="0" distB="0" distL="114300" distR="114300" simplePos="0" relativeHeight="251663360" behindDoc="0" locked="0" layoutInCell="1" allowOverlap="1">
                            <wp:simplePos x="0" y="0"/>
                            <wp:positionH relativeFrom="column">
                              <wp:posOffset>-12065</wp:posOffset>
                            </wp:positionH>
                            <wp:positionV relativeFrom="paragraph">
                              <wp:posOffset>182880</wp:posOffset>
                            </wp:positionV>
                            <wp:extent cx="2599690" cy="7620"/>
                            <wp:effectExtent l="0" t="0" r="0" b="0"/>
                            <wp:wrapNone/>
                            <wp:docPr id="28" name="直接连接符 28"/>
                            <wp:cNvGraphicFramePr/>
                            <a:graphic xmlns:a="http://schemas.openxmlformats.org/drawingml/2006/main">
                              <a:graphicData uri="http://schemas.microsoft.com/office/word/2010/wordprocessingShape">
                                <wps:wsp>
                                  <wps:cNvCnPr/>
                                  <wps:spPr>
                                    <a:xfrm flipV="1">
                                      <a:off x="0" y="0"/>
                                      <a:ext cx="2599690" cy="7620"/>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y;margin-left:-0.95pt;margin-top:14.4pt;height:0.6pt;width:204.7pt;z-index:251663360;mso-width-relative:page;mso-height-relative:page;" filled="f" stroked="t" coordsize="21600,21600" o:gfxdata="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2DqIn1wAAAAgBAAAPAAAAAAAAAAEAIAAAACIAAABkcnMvZG93bnJldi54bWxQ&#10;SwECFAAUAAAACACHTuJAx1a75/gBAADoAwAADgAAAAAAAAABACAAAAAmAQAAZHJzL2Uyb0RvYy54&#10;bWxQSwUGAAAAAAYABgBZAQAAkAUAAAAA&#10;">
                            <v:fill on="f" focussize="0,0"/>
                            <v:stroke weight="1.5pt" color="#000000" joinstyle="round"/>
                            <v:imagedata o:title=""/>
                            <o:lock v:ext="edit" aspectratio="f"/>
                          </v:line>
                        </w:pict>
                      </mc:Fallback>
                    </mc:AlternateContent>
                  </w: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w:t>水保、环保工程</w:t>
                  </w:r>
                </w:p>
              </w:tc>
              <w:tc>
                <w:tcPr>
                  <w:tcW w:w="623" w:type="pct"/>
                  <w:vAlign w:val="center"/>
                </w:tcPr>
                <w:p>
                  <w:pPr>
                    <w:widowControl/>
                    <w:jc w:val="center"/>
                    <w:textAlignment w:val="bottom"/>
                    <w:rPr>
                      <w:color w:val="auto"/>
                      <w:kern w:val="0"/>
                      <w:szCs w:val="21"/>
                      <w:lang w:bidi="ar"/>
                    </w:rPr>
                  </w:pPr>
                </w:p>
              </w:tc>
              <w:tc>
                <w:tcPr>
                  <w:tcW w:w="623" w:type="pct"/>
                  <w:vAlign w:val="center"/>
                </w:tcPr>
                <w:p>
                  <w:pPr>
                    <w:widowControl/>
                    <w:jc w:val="center"/>
                    <w:textAlignment w:val="bottom"/>
                    <w:rPr>
                      <w:color w:val="auto"/>
                      <w:kern w:val="0"/>
                      <w:szCs w:val="21"/>
                      <w:lang w:bidi="ar"/>
                    </w:rPr>
                  </w:pPr>
                  <w:r>
                    <w:rPr>
                      <w:color w:val="auto"/>
                      <w:kern w:val="0"/>
                      <w:szCs w:val="21"/>
                      <w:lang w:bidi="ar"/>
                    </w:rPr>
                    <mc:AlternateContent>
                      <mc:Choice Requires="wps">
                        <w:drawing>
                          <wp:anchor distT="0" distB="0" distL="114300" distR="114300" simplePos="0" relativeHeight="251664384" behindDoc="0" locked="0" layoutInCell="1" allowOverlap="1">
                            <wp:simplePos x="0" y="0"/>
                            <wp:positionH relativeFrom="column">
                              <wp:posOffset>-46355</wp:posOffset>
                            </wp:positionH>
                            <wp:positionV relativeFrom="paragraph">
                              <wp:posOffset>182245</wp:posOffset>
                            </wp:positionV>
                            <wp:extent cx="3475990" cy="17145"/>
                            <wp:effectExtent l="0" t="0" r="0" b="0"/>
                            <wp:wrapNone/>
                            <wp:docPr id="29" name="直接连接符 29"/>
                            <wp:cNvGraphicFramePr/>
                            <a:graphic xmlns:a="http://schemas.openxmlformats.org/drawingml/2006/main">
                              <a:graphicData uri="http://schemas.microsoft.com/office/word/2010/wordprocessingShape">
                                <wps:wsp>
                                  <wps:cNvCnPr/>
                                  <wps:spPr>
                                    <a:xfrm flipV="1">
                                      <a:off x="0" y="0"/>
                                      <a:ext cx="3475990" cy="17145"/>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y;margin-left:-3.65pt;margin-top:14.35pt;height:1.35pt;width:273.7pt;z-index:251664384;mso-width-relative:page;mso-height-relative:page;" filled="f" stroked="t" coordsize="21600,21600" o:gfxdata="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l+w0o2AAAAAgBAAAPAAAAAAAAAAEAIAAAACIAAABkcnMvZG93bnJldi54bWxQ&#10;SwECFAAUAAAACACHTuJAMQbuH/cBAADpAwAADgAAAAAAAAABACAAAAAnAQAAZHJzL2Uyb0RvYy54&#10;bWxQSwUGAAAAAAYABgBZAQAAkAUAAAAA&#10;">
                            <v:fill on="f" focussize="0,0"/>
                            <v:stroke weight="1.5pt" color="#000000" joinstyle="round"/>
                            <v:imagedata o:title=""/>
                            <o:lock v:ext="edit" aspectratio="f"/>
                          </v:line>
                        </w:pict>
                      </mc:Fallback>
                    </mc:AlternateContent>
                  </w:r>
                </w:p>
              </w:tc>
              <w:tc>
                <w:tcPr>
                  <w:tcW w:w="624"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3" w:type="pct"/>
                  <w:vAlign w:val="center"/>
                </w:tcPr>
                <w:p>
                  <w:pPr>
                    <w:widowControl/>
                    <w:jc w:val="center"/>
                    <w:textAlignment w:val="bottom"/>
                    <w:rPr>
                      <w:color w:val="auto"/>
                      <w:kern w:val="0"/>
                      <w:szCs w:val="21"/>
                      <w:lang w:bidi="ar"/>
                    </w:rPr>
                  </w:pPr>
                  <w:r>
                    <w:rPr>
                      <w:color w:val="auto"/>
                      <w:kern w:val="0"/>
                      <w:szCs w:val="21"/>
                      <w:lang w:bidi="ar"/>
                    </w:rPr>
                    <w:t>工程完建期</w:t>
                  </w:r>
                </w:p>
              </w:tc>
              <w:tc>
                <w:tcPr>
                  <w:tcW w:w="623" w:type="pct"/>
                  <w:vAlign w:val="center"/>
                </w:tcPr>
                <w:p>
                  <w:pPr>
                    <w:widowControl/>
                    <w:jc w:val="center"/>
                    <w:textAlignment w:val="bottom"/>
                    <w:rPr>
                      <w:color w:val="auto"/>
                      <w:kern w:val="0"/>
                      <w:szCs w:val="21"/>
                      <w:lang w:bidi="ar"/>
                    </w:rPr>
                  </w:pPr>
                </w:p>
              </w:tc>
              <w:tc>
                <w:tcPr>
                  <w:tcW w:w="623" w:type="pct"/>
                  <w:vAlign w:val="center"/>
                </w:tcPr>
                <w:p>
                  <w:pPr>
                    <w:widowControl/>
                    <w:jc w:val="center"/>
                    <w:textAlignment w:val="bottom"/>
                    <w:rPr>
                      <w:color w:val="auto"/>
                      <w:kern w:val="0"/>
                      <w:szCs w:val="21"/>
                      <w:lang w:bidi="ar"/>
                    </w:rPr>
                  </w:pPr>
                </w:p>
              </w:tc>
              <w:tc>
                <w:tcPr>
                  <w:tcW w:w="624"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p>
              </w:tc>
              <w:tc>
                <w:tcPr>
                  <w:tcW w:w="501" w:type="pct"/>
                  <w:vAlign w:val="center"/>
                </w:tcPr>
                <w:p>
                  <w:pPr>
                    <w:widowControl/>
                    <w:jc w:val="center"/>
                    <w:textAlignment w:val="bottom"/>
                    <w:rPr>
                      <w:color w:val="auto"/>
                      <w:kern w:val="0"/>
                      <w:szCs w:val="21"/>
                      <w:lang w:bidi="ar"/>
                    </w:rPr>
                  </w:pPr>
                  <w:r>
                    <w:rPr>
                      <w:color w:val="auto"/>
                      <w:kern w:val="0"/>
                      <w:szCs w:val="21"/>
                      <w:lang w:bidi="ar"/>
                    </w:rPr>
                    <mc:AlternateContent>
                      <mc:Choice Requires="wps">
                        <w:drawing>
                          <wp:anchor distT="0" distB="0" distL="114300" distR="114300" simplePos="0" relativeHeight="251665408" behindDoc="0" locked="0" layoutInCell="1" allowOverlap="1">
                            <wp:simplePos x="0" y="0"/>
                            <wp:positionH relativeFrom="column">
                              <wp:posOffset>478790</wp:posOffset>
                            </wp:positionH>
                            <wp:positionV relativeFrom="paragraph">
                              <wp:posOffset>175895</wp:posOffset>
                            </wp:positionV>
                            <wp:extent cx="547370" cy="6350"/>
                            <wp:effectExtent l="0" t="0" r="0" b="0"/>
                            <wp:wrapNone/>
                            <wp:docPr id="30" name="直接连接符 30"/>
                            <wp:cNvGraphicFramePr/>
                            <a:graphic xmlns:a="http://schemas.openxmlformats.org/drawingml/2006/main">
                              <a:graphicData uri="http://schemas.microsoft.com/office/word/2010/wordprocessingShape">
                                <wps:wsp>
                                  <wps:cNvCnPr/>
                                  <wps:spPr>
                                    <a:xfrm flipV="1">
                                      <a:off x="0" y="0"/>
                                      <a:ext cx="547370" cy="6350"/>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y;margin-left:37.7pt;margin-top:13.85pt;height:0.5pt;width:43.1pt;z-index:251665408;mso-width-relative:page;mso-height-relative:page;" filled="f" stroked="t" coordsize="21600,21600" o:gfxdata="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qgjNYAAAAIAQAADwAAAAAAAAABACAAAAAiAAAAZHJzL2Rvd25yZXYueG1sUEsB&#10;AhQAFAAAAAgAh07iQNCi0sf3AQAA5wMAAA4AAAAAAAAAAQAgAAAAJQEAAGRycy9lMm9Eb2MueG1s&#10;UEsFBgAAAAAGAAYAWQEAAI4FAAAAAA==&#10;">
                            <v:fill on="f" focussize="0,0"/>
                            <v:stroke weight="1.5pt" color="#000000" joinstyle="round"/>
                            <v:imagedata o:title=""/>
                            <o:lock v:ext="edit" aspectratio="f"/>
                          </v:line>
                        </w:pict>
                      </mc:Fallback>
                    </mc:AlternateContent>
                  </w:r>
                </w:p>
              </w:tc>
              <w:tc>
                <w:tcPr>
                  <w:tcW w:w="501" w:type="pct"/>
                  <w:vAlign w:val="center"/>
                </w:tcPr>
                <w:p>
                  <w:pPr>
                    <w:widowControl/>
                    <w:jc w:val="center"/>
                    <w:textAlignment w:val="bottom"/>
                    <w:rPr>
                      <w:color w:val="auto"/>
                      <w:kern w:val="0"/>
                      <w:szCs w:val="21"/>
                      <w:lang w:bidi="ar"/>
                    </w:rPr>
                  </w:pPr>
                </w:p>
              </w:tc>
            </w:tr>
          </w:tbl>
          <w:p>
            <w:pPr>
              <w:adjustRightInd w:val="0"/>
              <w:snapToGrid w:val="0"/>
              <w:spacing w:line="360" w:lineRule="auto"/>
              <w:ind w:firstLine="482" w:firstLineChars="200"/>
              <w:jc w:val="left"/>
              <w:rPr>
                <w:rFonts w:hint="default" w:eastAsia="宋体"/>
                <w:b/>
                <w:bCs/>
                <w:color w:val="auto"/>
                <w:sz w:val="24"/>
                <w:lang w:val="en-US" w:eastAsia="zh-CN"/>
              </w:rPr>
            </w:pPr>
            <w:r>
              <w:rPr>
                <w:rFonts w:hint="eastAsia"/>
                <w:b/>
                <w:bCs/>
                <w:color w:val="auto"/>
                <w:sz w:val="24"/>
                <w:lang w:val="en-US" w:eastAsia="zh-CN"/>
              </w:rPr>
              <w:t>项目实际于2022年11月开始施工，工程实际施工过程中由于天气及部分区域施工困难，未能按原有施工工期进行施工，目前</w:t>
            </w:r>
            <w:r>
              <w:rPr>
                <w:rStyle w:val="87"/>
                <w:rFonts w:hint="eastAsia"/>
                <w:b/>
                <w:bCs/>
                <w:color w:val="auto"/>
                <w:lang w:val="en-US" w:eastAsia="zh-CN"/>
              </w:rPr>
              <w:t>部分堤防植草护坡等收尾工作未完成，根据施工单位工作进度，预计2024年4月底完工。</w:t>
            </w:r>
          </w:p>
          <w:p>
            <w:pPr>
              <w:adjustRightInd w:val="0"/>
              <w:snapToGrid w:val="0"/>
              <w:spacing w:line="360" w:lineRule="auto"/>
              <w:ind w:firstLine="482" w:firstLineChars="200"/>
              <w:jc w:val="left"/>
              <w:rPr>
                <w:color w:val="auto"/>
                <w:kern w:val="0"/>
                <w:sz w:val="24"/>
              </w:rPr>
            </w:pPr>
            <w:r>
              <w:rPr>
                <w:b/>
                <w:bCs/>
                <w:color w:val="auto"/>
                <w:sz w:val="24"/>
              </w:rPr>
              <w:t>施工人员：</w:t>
            </w:r>
            <w:r>
              <w:rPr>
                <w:rFonts w:hint="eastAsia"/>
                <w:b w:val="0"/>
                <w:bCs w:val="0"/>
                <w:color w:val="auto"/>
                <w:sz w:val="24"/>
                <w:lang w:val="en-US" w:eastAsia="zh-CN"/>
              </w:rPr>
              <w:t>根据建设单位介绍，</w:t>
            </w:r>
            <w:r>
              <w:rPr>
                <w:color w:val="auto"/>
                <w:sz w:val="24"/>
              </w:rPr>
              <w:t>项目</w:t>
            </w:r>
            <w:r>
              <w:rPr>
                <w:rFonts w:hint="eastAsia"/>
                <w:color w:val="auto"/>
                <w:sz w:val="24"/>
                <w:lang w:val="en-US" w:eastAsia="zh-CN"/>
              </w:rPr>
              <w:t>施工过程中，</w:t>
            </w:r>
            <w:r>
              <w:rPr>
                <w:color w:val="auto"/>
                <w:sz w:val="24"/>
              </w:rPr>
              <w:t>高峰期施工人员总人数</w:t>
            </w:r>
            <w:r>
              <w:rPr>
                <w:rFonts w:hint="eastAsia"/>
                <w:color w:val="auto"/>
                <w:sz w:val="24"/>
                <w:lang w:val="en-US" w:eastAsia="zh-CN"/>
              </w:rPr>
              <w:t>为</w:t>
            </w:r>
            <w:r>
              <w:rPr>
                <w:color w:val="auto"/>
                <w:sz w:val="24"/>
              </w:rPr>
              <w:t>60人。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5" w:hRule="atLeast"/>
          <w:jc w:val="center"/>
        </w:trPr>
        <w:tc>
          <w:tcPr>
            <w:tcW w:w="528" w:type="dxa"/>
            <w:vAlign w:val="center"/>
          </w:tcPr>
          <w:p>
            <w:pPr>
              <w:adjustRightInd w:val="0"/>
              <w:snapToGrid w:val="0"/>
              <w:jc w:val="center"/>
              <w:rPr>
                <w:color w:val="auto"/>
                <w:kern w:val="0"/>
                <w:sz w:val="24"/>
              </w:rPr>
            </w:pPr>
            <w:r>
              <w:rPr>
                <w:color w:val="auto"/>
                <w:kern w:val="0"/>
                <w:sz w:val="24"/>
              </w:rPr>
              <w:t>其他</w:t>
            </w:r>
          </w:p>
        </w:tc>
        <w:tc>
          <w:tcPr>
            <w:tcW w:w="9591" w:type="dxa"/>
            <w:vAlign w:val="center"/>
          </w:tcPr>
          <w:p>
            <w:pPr>
              <w:spacing w:line="360" w:lineRule="auto"/>
              <w:jc w:val="center"/>
              <w:rPr>
                <w:color w:val="auto"/>
                <w:kern w:val="0"/>
                <w:sz w:val="24"/>
              </w:rPr>
            </w:pPr>
            <w:r>
              <w:rPr>
                <w:color w:val="auto"/>
                <w:kern w:val="0"/>
                <w:sz w:val="24"/>
              </w:rPr>
              <w:t>无</w:t>
            </w:r>
          </w:p>
        </w:tc>
      </w:tr>
    </w:tbl>
    <w:p>
      <w:pPr>
        <w:pStyle w:val="31"/>
        <w:jc w:val="center"/>
        <w:outlineLvl w:val="0"/>
        <w:rPr>
          <w:rFonts w:ascii="Times New Roman" w:hAnsi="Times New Roman" w:eastAsia="黑体"/>
          <w:snapToGrid w:val="0"/>
          <w:color w:val="auto"/>
          <w:sz w:val="30"/>
          <w:szCs w:val="30"/>
        </w:rPr>
      </w:pPr>
      <w:r>
        <w:rPr>
          <w:rFonts w:ascii="Times New Roman" w:hAnsi="Times New Roman" w:eastAsia="仿宋_GB2312"/>
          <w:b/>
          <w:bCs/>
          <w:color w:val="auto"/>
        </w:rPr>
        <w:br w:type="page"/>
      </w:r>
      <w:r>
        <w:rPr>
          <w:rFonts w:ascii="Times New Roman" w:hAnsi="Times New Roman" w:eastAsia="黑体"/>
          <w:snapToGrid w:val="0"/>
          <w:color w:val="auto"/>
          <w:sz w:val="30"/>
          <w:szCs w:val="30"/>
        </w:rPr>
        <w:t>三、生态环境现状、保护目标及评价标准</w:t>
      </w:r>
    </w:p>
    <w:tbl>
      <w:tblPr>
        <w:tblStyle w:val="36"/>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3"/>
        <w:gridCol w:w="86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8" w:hRule="atLeast"/>
          <w:jc w:val="center"/>
        </w:trPr>
        <w:tc>
          <w:tcPr>
            <w:tcW w:w="473" w:type="dxa"/>
            <w:vAlign w:val="center"/>
          </w:tcPr>
          <w:p>
            <w:pPr>
              <w:adjustRightInd w:val="0"/>
              <w:snapToGrid w:val="0"/>
              <w:jc w:val="center"/>
              <w:rPr>
                <w:color w:val="auto"/>
                <w:kern w:val="0"/>
                <w:sz w:val="24"/>
              </w:rPr>
            </w:pPr>
            <w:r>
              <w:rPr>
                <w:color w:val="auto"/>
                <w:kern w:val="0"/>
                <w:sz w:val="24"/>
              </w:rPr>
              <w:t>生态环境现状</w:t>
            </w:r>
          </w:p>
        </w:tc>
        <w:tc>
          <w:tcPr>
            <w:tcW w:w="8684" w:type="dxa"/>
            <w:vAlign w:val="center"/>
          </w:tcPr>
          <w:p>
            <w:pPr>
              <w:adjustRightInd w:val="0"/>
              <w:snapToGrid w:val="0"/>
              <w:spacing w:line="360" w:lineRule="auto"/>
              <w:rPr>
                <w:color w:val="auto"/>
                <w:sz w:val="24"/>
                <w:szCs w:val="32"/>
              </w:rPr>
            </w:pPr>
            <w:r>
              <w:rPr>
                <w:b/>
                <w:bCs/>
                <w:color w:val="auto"/>
                <w:kern w:val="0"/>
                <w:sz w:val="24"/>
              </w:rPr>
              <w:t>一、大气环境</w:t>
            </w:r>
          </w:p>
          <w:p>
            <w:pPr>
              <w:adjustRightInd w:val="0"/>
              <w:snapToGrid w:val="0"/>
              <w:spacing w:line="360" w:lineRule="auto"/>
              <w:ind w:firstLine="480" w:firstLineChars="200"/>
              <w:jc w:val="left"/>
              <w:rPr>
                <w:color w:val="auto"/>
                <w:sz w:val="24"/>
              </w:rPr>
            </w:pPr>
            <w:r>
              <w:rPr>
                <w:color w:val="auto"/>
                <w:sz w:val="24"/>
              </w:rPr>
              <w:t>根据《建设项目环境影响报告表编制指南》（生态影响类）（试行），大气、固定声源环境质量现状监测参照《建设项目环境影响报告表编制指南》（污染影响类）（试行）相关规定开展，根据该指南，常规污染物</w:t>
            </w:r>
            <w:r>
              <w:rPr>
                <w:rFonts w:hint="eastAsia"/>
                <w:color w:val="auto"/>
                <w:sz w:val="24"/>
              </w:rPr>
              <w:t>可引用</w:t>
            </w:r>
            <w:r>
              <w:rPr>
                <w:color w:val="auto"/>
                <w:sz w:val="24"/>
              </w:rPr>
              <w:t>国家、地方环境空气质量监测网数据或生态环境主管部门公开发布的质量数据等。</w:t>
            </w:r>
          </w:p>
          <w:p>
            <w:pPr>
              <w:adjustRightInd w:val="0"/>
              <w:snapToGrid w:val="0"/>
              <w:spacing w:line="360" w:lineRule="auto"/>
              <w:ind w:firstLine="480" w:firstLineChars="200"/>
              <w:jc w:val="left"/>
              <w:rPr>
                <w:color w:val="auto"/>
                <w:sz w:val="24"/>
                <w:szCs w:val="32"/>
              </w:rPr>
            </w:pPr>
            <w:r>
              <w:rPr>
                <w:rFonts w:hint="eastAsia"/>
                <w:color w:val="auto"/>
                <w:sz w:val="24"/>
              </w:rPr>
              <w:t>根据</w:t>
            </w:r>
            <w:r>
              <w:rPr>
                <w:color w:val="auto"/>
                <w:sz w:val="24"/>
              </w:rPr>
              <w:t>广元市生态环境局2023年2月2日发布的《2022年广元市环境质量状况》</w:t>
            </w:r>
            <w:r>
              <w:rPr>
                <w:rFonts w:hint="eastAsia"/>
                <w:color w:val="auto"/>
                <w:sz w:val="24"/>
                <w:lang w:eastAsia="zh-CN"/>
              </w:rPr>
              <w:t>（</w:t>
            </w:r>
            <w:r>
              <w:rPr>
                <w:color w:val="auto"/>
              </w:rPr>
              <w:fldChar w:fldCharType="begin"/>
            </w:r>
            <w:r>
              <w:rPr>
                <w:color w:val="auto"/>
              </w:rPr>
              <w:instrText xml:space="preserve"> HYPERLINK "http://hbj.cngy.gov.cn/news/show/20230202101526022.html" </w:instrText>
            </w:r>
            <w:r>
              <w:rPr>
                <w:color w:val="auto"/>
              </w:rPr>
              <w:fldChar w:fldCharType="separate"/>
            </w:r>
            <w:r>
              <w:rPr>
                <w:color w:val="auto"/>
                <w:sz w:val="24"/>
              </w:rPr>
              <w:t>http://hbj.cngy.gov.cn/news/show/20230202101526022.html</w:t>
            </w:r>
            <w:r>
              <w:rPr>
                <w:color w:val="auto"/>
                <w:sz w:val="24"/>
              </w:rPr>
              <w:fldChar w:fldCharType="end"/>
            </w:r>
            <w:r>
              <w:rPr>
                <w:rFonts w:hint="eastAsia"/>
                <w:color w:val="auto"/>
                <w:sz w:val="24"/>
                <w:lang w:eastAsia="zh-CN"/>
              </w:rPr>
              <w:t>），</w:t>
            </w:r>
            <w:r>
              <w:rPr>
                <w:color w:val="auto"/>
                <w:sz w:val="24"/>
              </w:rPr>
              <w:t>环境空气质量达标判定见下表</w:t>
            </w:r>
            <w:r>
              <w:rPr>
                <w:color w:val="auto"/>
                <w:sz w:val="24"/>
                <w:szCs w:val="32"/>
              </w:rPr>
              <w:t>。</w:t>
            </w:r>
          </w:p>
          <w:p>
            <w:pPr>
              <w:numPr>
                <w:ilvl w:val="0"/>
                <w:numId w:val="8"/>
              </w:numPr>
              <w:adjustRightInd w:val="0"/>
              <w:snapToGrid w:val="0"/>
              <w:jc w:val="center"/>
              <w:rPr>
                <w:b/>
                <w:color w:val="auto"/>
                <w:szCs w:val="21"/>
              </w:rPr>
            </w:pPr>
            <w:r>
              <w:rPr>
                <w:b/>
                <w:color w:val="auto"/>
                <w:szCs w:val="21"/>
              </w:rPr>
              <w:t>区域空气质量现状评价表 单位：μg/m</w:t>
            </w:r>
            <w:r>
              <w:rPr>
                <w:b/>
                <w:color w:val="auto"/>
                <w:szCs w:val="21"/>
                <w:vertAlign w:val="superscript"/>
              </w:rPr>
              <w:t>3</w:t>
            </w:r>
            <w:r>
              <w:rPr>
                <w:b/>
                <w:color w:val="auto"/>
                <w:szCs w:val="21"/>
              </w:rPr>
              <w:t>，CO为mg/m</w:t>
            </w:r>
            <w:r>
              <w:rPr>
                <w:b/>
                <w:color w:val="auto"/>
                <w:szCs w:val="21"/>
                <w:vertAlign w:val="superscript"/>
              </w:rPr>
              <w:t>3</w:t>
            </w:r>
          </w:p>
          <w:tbl>
            <w:tblPr>
              <w:tblStyle w:val="3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0"/>
              <w:gridCol w:w="1410"/>
              <w:gridCol w:w="1502"/>
              <w:gridCol w:w="1317"/>
              <w:gridCol w:w="1411"/>
              <w:gridCol w:w="14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pPr>
                    <w:adjustRightInd w:val="0"/>
                    <w:snapToGrid w:val="0"/>
                    <w:jc w:val="center"/>
                    <w:rPr>
                      <w:b/>
                      <w:bCs/>
                      <w:color w:val="auto"/>
                      <w:szCs w:val="21"/>
                    </w:rPr>
                  </w:pPr>
                  <w:r>
                    <w:rPr>
                      <w:b/>
                      <w:bCs/>
                      <w:color w:val="auto"/>
                      <w:szCs w:val="21"/>
                    </w:rPr>
                    <w:t>污染物</w:t>
                  </w:r>
                </w:p>
              </w:tc>
              <w:tc>
                <w:tcPr>
                  <w:tcW w:w="833" w:type="pct"/>
                  <w:vAlign w:val="center"/>
                </w:tcPr>
                <w:p>
                  <w:pPr>
                    <w:adjustRightInd w:val="0"/>
                    <w:snapToGrid w:val="0"/>
                    <w:jc w:val="center"/>
                    <w:rPr>
                      <w:b/>
                      <w:bCs/>
                      <w:color w:val="auto"/>
                      <w:szCs w:val="21"/>
                    </w:rPr>
                  </w:pPr>
                  <w:r>
                    <w:rPr>
                      <w:b/>
                      <w:bCs/>
                      <w:color w:val="auto"/>
                      <w:szCs w:val="21"/>
                    </w:rPr>
                    <w:t>年评价指标</w:t>
                  </w:r>
                </w:p>
              </w:tc>
              <w:tc>
                <w:tcPr>
                  <w:tcW w:w="887" w:type="pct"/>
                  <w:vAlign w:val="center"/>
                </w:tcPr>
                <w:p>
                  <w:pPr>
                    <w:adjustRightInd w:val="0"/>
                    <w:snapToGrid w:val="0"/>
                    <w:jc w:val="center"/>
                    <w:rPr>
                      <w:b/>
                      <w:bCs/>
                      <w:color w:val="auto"/>
                      <w:szCs w:val="21"/>
                    </w:rPr>
                  </w:pPr>
                  <w:r>
                    <w:rPr>
                      <w:b/>
                      <w:bCs/>
                      <w:color w:val="auto"/>
                      <w:szCs w:val="21"/>
                    </w:rPr>
                    <w:t>现状浓度</w:t>
                  </w:r>
                </w:p>
              </w:tc>
              <w:tc>
                <w:tcPr>
                  <w:tcW w:w="778" w:type="pct"/>
                  <w:vAlign w:val="center"/>
                </w:tcPr>
                <w:p>
                  <w:pPr>
                    <w:adjustRightInd w:val="0"/>
                    <w:snapToGrid w:val="0"/>
                    <w:jc w:val="center"/>
                    <w:rPr>
                      <w:b/>
                      <w:bCs/>
                      <w:color w:val="auto"/>
                      <w:szCs w:val="21"/>
                    </w:rPr>
                  </w:pPr>
                  <w:r>
                    <w:rPr>
                      <w:b/>
                      <w:bCs/>
                      <w:color w:val="auto"/>
                      <w:szCs w:val="21"/>
                    </w:rPr>
                    <w:t>标准值</w:t>
                  </w:r>
                </w:p>
              </w:tc>
              <w:tc>
                <w:tcPr>
                  <w:tcW w:w="833" w:type="pct"/>
                  <w:vAlign w:val="center"/>
                </w:tcPr>
                <w:p>
                  <w:pPr>
                    <w:adjustRightInd w:val="0"/>
                    <w:snapToGrid w:val="0"/>
                    <w:jc w:val="center"/>
                    <w:rPr>
                      <w:b/>
                      <w:bCs/>
                      <w:color w:val="auto"/>
                      <w:szCs w:val="21"/>
                    </w:rPr>
                  </w:pPr>
                  <w:r>
                    <w:rPr>
                      <w:b/>
                      <w:bCs/>
                      <w:color w:val="auto"/>
                      <w:szCs w:val="21"/>
                    </w:rPr>
                    <w:t>占标率/%</w:t>
                  </w:r>
                </w:p>
              </w:tc>
              <w:tc>
                <w:tcPr>
                  <w:tcW w:w="833" w:type="pct"/>
                  <w:vAlign w:val="center"/>
                </w:tcPr>
                <w:p>
                  <w:pPr>
                    <w:adjustRightInd w:val="0"/>
                    <w:snapToGrid w:val="0"/>
                    <w:jc w:val="center"/>
                    <w:rPr>
                      <w:b/>
                      <w:bCs/>
                      <w:color w:val="auto"/>
                      <w:szCs w:val="21"/>
                    </w:rPr>
                  </w:pPr>
                  <w:r>
                    <w:rPr>
                      <w:b/>
                      <w:bCs/>
                      <w:color w:val="auto"/>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pPr>
                    <w:adjustRightInd w:val="0"/>
                    <w:snapToGrid w:val="0"/>
                    <w:jc w:val="center"/>
                    <w:rPr>
                      <w:color w:val="auto"/>
                      <w:szCs w:val="21"/>
                    </w:rPr>
                  </w:pPr>
                  <w:r>
                    <w:rPr>
                      <w:color w:val="auto"/>
                      <w:szCs w:val="21"/>
                    </w:rPr>
                    <w:t>SO</w:t>
                  </w:r>
                  <w:r>
                    <w:rPr>
                      <w:color w:val="auto"/>
                      <w:szCs w:val="21"/>
                      <w:vertAlign w:val="subscript"/>
                    </w:rPr>
                    <w:t>2</w:t>
                  </w:r>
                </w:p>
              </w:tc>
              <w:tc>
                <w:tcPr>
                  <w:tcW w:w="833" w:type="pct"/>
                  <w:vMerge w:val="restart"/>
                  <w:vAlign w:val="center"/>
                </w:tcPr>
                <w:p>
                  <w:pPr>
                    <w:adjustRightInd w:val="0"/>
                    <w:snapToGrid w:val="0"/>
                    <w:jc w:val="center"/>
                    <w:rPr>
                      <w:color w:val="auto"/>
                      <w:szCs w:val="21"/>
                    </w:rPr>
                  </w:pPr>
                  <w:r>
                    <w:rPr>
                      <w:color w:val="auto"/>
                      <w:szCs w:val="21"/>
                    </w:rPr>
                    <w:t>年平均浓度值</w:t>
                  </w:r>
                </w:p>
              </w:tc>
              <w:tc>
                <w:tcPr>
                  <w:tcW w:w="887" w:type="pct"/>
                  <w:vAlign w:val="center"/>
                </w:tcPr>
                <w:p>
                  <w:pPr>
                    <w:adjustRightInd w:val="0"/>
                    <w:snapToGrid w:val="0"/>
                    <w:jc w:val="center"/>
                    <w:rPr>
                      <w:color w:val="auto"/>
                      <w:szCs w:val="21"/>
                    </w:rPr>
                  </w:pPr>
                  <w:r>
                    <w:rPr>
                      <w:color w:val="auto"/>
                      <w:szCs w:val="21"/>
                    </w:rPr>
                    <w:t>8.8</w:t>
                  </w:r>
                </w:p>
              </w:tc>
              <w:tc>
                <w:tcPr>
                  <w:tcW w:w="778" w:type="pct"/>
                  <w:vAlign w:val="center"/>
                </w:tcPr>
                <w:p>
                  <w:pPr>
                    <w:adjustRightInd w:val="0"/>
                    <w:snapToGrid w:val="0"/>
                    <w:jc w:val="center"/>
                    <w:rPr>
                      <w:color w:val="auto"/>
                      <w:szCs w:val="21"/>
                    </w:rPr>
                  </w:pPr>
                  <w:r>
                    <w:rPr>
                      <w:color w:val="auto"/>
                      <w:szCs w:val="21"/>
                    </w:rPr>
                    <w:t>60</w:t>
                  </w:r>
                </w:p>
              </w:tc>
              <w:tc>
                <w:tcPr>
                  <w:tcW w:w="833" w:type="pct"/>
                  <w:vAlign w:val="center"/>
                </w:tcPr>
                <w:p>
                  <w:pPr>
                    <w:adjustRightInd w:val="0"/>
                    <w:snapToGrid w:val="0"/>
                    <w:jc w:val="center"/>
                    <w:rPr>
                      <w:color w:val="auto"/>
                      <w:szCs w:val="21"/>
                    </w:rPr>
                  </w:pPr>
                  <w:r>
                    <w:rPr>
                      <w:color w:val="auto"/>
                      <w:szCs w:val="21"/>
                    </w:rPr>
                    <w:t>14.67</w:t>
                  </w:r>
                </w:p>
              </w:tc>
              <w:tc>
                <w:tcPr>
                  <w:tcW w:w="833" w:type="pct"/>
                  <w:vAlign w:val="center"/>
                </w:tcPr>
                <w:p>
                  <w:pPr>
                    <w:adjustRightInd w:val="0"/>
                    <w:snapToGrid w:val="0"/>
                    <w:jc w:val="center"/>
                    <w:rPr>
                      <w:color w:val="auto"/>
                      <w:szCs w:val="21"/>
                    </w:rPr>
                  </w:pPr>
                  <w:r>
                    <w:rPr>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833" w:type="pct"/>
                  <w:vAlign w:val="center"/>
                </w:tcPr>
                <w:p>
                  <w:pPr>
                    <w:adjustRightInd w:val="0"/>
                    <w:snapToGrid w:val="0"/>
                    <w:jc w:val="center"/>
                    <w:rPr>
                      <w:color w:val="auto"/>
                      <w:szCs w:val="21"/>
                    </w:rPr>
                  </w:pPr>
                  <w:r>
                    <w:rPr>
                      <w:color w:val="auto"/>
                      <w:szCs w:val="21"/>
                    </w:rPr>
                    <w:t>NO</w:t>
                  </w:r>
                  <w:r>
                    <w:rPr>
                      <w:color w:val="auto"/>
                      <w:szCs w:val="21"/>
                      <w:vertAlign w:val="subscript"/>
                    </w:rPr>
                    <w:t>2</w:t>
                  </w:r>
                </w:p>
              </w:tc>
              <w:tc>
                <w:tcPr>
                  <w:tcW w:w="833" w:type="pct"/>
                  <w:vMerge w:val="continue"/>
                  <w:vAlign w:val="center"/>
                </w:tcPr>
                <w:p>
                  <w:pPr>
                    <w:widowControl/>
                    <w:adjustRightInd w:val="0"/>
                    <w:snapToGrid w:val="0"/>
                    <w:jc w:val="center"/>
                    <w:rPr>
                      <w:color w:val="auto"/>
                      <w:szCs w:val="21"/>
                    </w:rPr>
                  </w:pPr>
                </w:p>
              </w:tc>
              <w:tc>
                <w:tcPr>
                  <w:tcW w:w="887" w:type="pct"/>
                  <w:vAlign w:val="center"/>
                </w:tcPr>
                <w:p>
                  <w:pPr>
                    <w:adjustRightInd w:val="0"/>
                    <w:snapToGrid w:val="0"/>
                    <w:jc w:val="center"/>
                    <w:rPr>
                      <w:color w:val="auto"/>
                      <w:szCs w:val="21"/>
                    </w:rPr>
                  </w:pPr>
                  <w:r>
                    <w:rPr>
                      <w:color w:val="auto"/>
                      <w:szCs w:val="21"/>
                    </w:rPr>
                    <w:t>24.1</w:t>
                  </w:r>
                </w:p>
              </w:tc>
              <w:tc>
                <w:tcPr>
                  <w:tcW w:w="778" w:type="pct"/>
                  <w:vAlign w:val="center"/>
                </w:tcPr>
                <w:p>
                  <w:pPr>
                    <w:adjustRightInd w:val="0"/>
                    <w:snapToGrid w:val="0"/>
                    <w:jc w:val="center"/>
                    <w:rPr>
                      <w:color w:val="auto"/>
                      <w:szCs w:val="21"/>
                    </w:rPr>
                  </w:pPr>
                  <w:r>
                    <w:rPr>
                      <w:color w:val="auto"/>
                      <w:szCs w:val="21"/>
                    </w:rPr>
                    <w:t>40</w:t>
                  </w:r>
                </w:p>
              </w:tc>
              <w:tc>
                <w:tcPr>
                  <w:tcW w:w="833" w:type="pct"/>
                  <w:vAlign w:val="center"/>
                </w:tcPr>
                <w:p>
                  <w:pPr>
                    <w:adjustRightInd w:val="0"/>
                    <w:snapToGrid w:val="0"/>
                    <w:jc w:val="center"/>
                    <w:rPr>
                      <w:color w:val="auto"/>
                      <w:szCs w:val="21"/>
                    </w:rPr>
                  </w:pPr>
                  <w:r>
                    <w:rPr>
                      <w:color w:val="auto"/>
                      <w:szCs w:val="21"/>
                    </w:rPr>
                    <w:t>60.25</w:t>
                  </w:r>
                </w:p>
              </w:tc>
              <w:tc>
                <w:tcPr>
                  <w:tcW w:w="833" w:type="pct"/>
                  <w:vAlign w:val="center"/>
                </w:tcPr>
                <w:p>
                  <w:pPr>
                    <w:adjustRightInd w:val="0"/>
                    <w:snapToGrid w:val="0"/>
                    <w:jc w:val="center"/>
                    <w:rPr>
                      <w:color w:val="auto"/>
                      <w:szCs w:val="21"/>
                    </w:rPr>
                  </w:pPr>
                  <w:r>
                    <w:rPr>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pPr>
                    <w:adjustRightInd w:val="0"/>
                    <w:snapToGrid w:val="0"/>
                    <w:jc w:val="center"/>
                    <w:rPr>
                      <w:color w:val="auto"/>
                      <w:szCs w:val="21"/>
                    </w:rPr>
                  </w:pPr>
                  <w:r>
                    <w:rPr>
                      <w:color w:val="auto"/>
                      <w:szCs w:val="21"/>
                    </w:rPr>
                    <w:t>PM</w:t>
                  </w:r>
                  <w:r>
                    <w:rPr>
                      <w:color w:val="auto"/>
                      <w:szCs w:val="21"/>
                      <w:vertAlign w:val="subscript"/>
                    </w:rPr>
                    <w:t>10</w:t>
                  </w:r>
                </w:p>
              </w:tc>
              <w:tc>
                <w:tcPr>
                  <w:tcW w:w="833" w:type="pct"/>
                  <w:vMerge w:val="continue"/>
                  <w:vAlign w:val="center"/>
                </w:tcPr>
                <w:p>
                  <w:pPr>
                    <w:widowControl/>
                    <w:adjustRightInd w:val="0"/>
                    <w:snapToGrid w:val="0"/>
                    <w:jc w:val="center"/>
                    <w:rPr>
                      <w:color w:val="auto"/>
                      <w:szCs w:val="21"/>
                    </w:rPr>
                  </w:pPr>
                </w:p>
              </w:tc>
              <w:tc>
                <w:tcPr>
                  <w:tcW w:w="887" w:type="pct"/>
                  <w:vAlign w:val="center"/>
                </w:tcPr>
                <w:p>
                  <w:pPr>
                    <w:adjustRightInd w:val="0"/>
                    <w:snapToGrid w:val="0"/>
                    <w:jc w:val="center"/>
                    <w:rPr>
                      <w:color w:val="auto"/>
                      <w:szCs w:val="21"/>
                    </w:rPr>
                  </w:pPr>
                  <w:r>
                    <w:rPr>
                      <w:color w:val="auto"/>
                      <w:szCs w:val="21"/>
                    </w:rPr>
                    <w:t>41.3</w:t>
                  </w:r>
                </w:p>
              </w:tc>
              <w:tc>
                <w:tcPr>
                  <w:tcW w:w="778" w:type="pct"/>
                  <w:vAlign w:val="center"/>
                </w:tcPr>
                <w:p>
                  <w:pPr>
                    <w:adjustRightInd w:val="0"/>
                    <w:snapToGrid w:val="0"/>
                    <w:jc w:val="center"/>
                    <w:rPr>
                      <w:color w:val="auto"/>
                      <w:szCs w:val="21"/>
                    </w:rPr>
                  </w:pPr>
                  <w:r>
                    <w:rPr>
                      <w:color w:val="auto"/>
                      <w:szCs w:val="21"/>
                    </w:rPr>
                    <w:t>70</w:t>
                  </w:r>
                </w:p>
              </w:tc>
              <w:tc>
                <w:tcPr>
                  <w:tcW w:w="833" w:type="pct"/>
                  <w:vAlign w:val="center"/>
                </w:tcPr>
                <w:p>
                  <w:pPr>
                    <w:adjustRightInd w:val="0"/>
                    <w:snapToGrid w:val="0"/>
                    <w:jc w:val="center"/>
                    <w:rPr>
                      <w:color w:val="auto"/>
                      <w:szCs w:val="21"/>
                    </w:rPr>
                  </w:pPr>
                  <w:r>
                    <w:rPr>
                      <w:color w:val="auto"/>
                      <w:szCs w:val="21"/>
                    </w:rPr>
                    <w:t>59.00</w:t>
                  </w:r>
                </w:p>
              </w:tc>
              <w:tc>
                <w:tcPr>
                  <w:tcW w:w="833" w:type="pct"/>
                  <w:vAlign w:val="center"/>
                </w:tcPr>
                <w:p>
                  <w:pPr>
                    <w:adjustRightInd w:val="0"/>
                    <w:snapToGrid w:val="0"/>
                    <w:jc w:val="center"/>
                    <w:rPr>
                      <w:color w:val="auto"/>
                      <w:szCs w:val="21"/>
                    </w:rPr>
                  </w:pPr>
                  <w:r>
                    <w:rPr>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pPr>
                    <w:adjustRightInd w:val="0"/>
                    <w:snapToGrid w:val="0"/>
                    <w:jc w:val="center"/>
                    <w:rPr>
                      <w:color w:val="auto"/>
                      <w:szCs w:val="21"/>
                    </w:rPr>
                  </w:pPr>
                  <w:r>
                    <w:rPr>
                      <w:color w:val="auto"/>
                      <w:szCs w:val="21"/>
                    </w:rPr>
                    <w:t>PM</w:t>
                  </w:r>
                  <w:r>
                    <w:rPr>
                      <w:color w:val="auto"/>
                      <w:szCs w:val="21"/>
                      <w:vertAlign w:val="subscript"/>
                    </w:rPr>
                    <w:t>2.5</w:t>
                  </w:r>
                </w:p>
              </w:tc>
              <w:tc>
                <w:tcPr>
                  <w:tcW w:w="833" w:type="pct"/>
                  <w:vMerge w:val="continue"/>
                  <w:vAlign w:val="center"/>
                </w:tcPr>
                <w:p>
                  <w:pPr>
                    <w:widowControl/>
                    <w:adjustRightInd w:val="0"/>
                    <w:snapToGrid w:val="0"/>
                    <w:jc w:val="center"/>
                    <w:rPr>
                      <w:color w:val="auto"/>
                      <w:szCs w:val="21"/>
                    </w:rPr>
                  </w:pPr>
                </w:p>
              </w:tc>
              <w:tc>
                <w:tcPr>
                  <w:tcW w:w="887" w:type="pct"/>
                  <w:vAlign w:val="center"/>
                </w:tcPr>
                <w:p>
                  <w:pPr>
                    <w:adjustRightInd w:val="0"/>
                    <w:snapToGrid w:val="0"/>
                    <w:jc w:val="center"/>
                    <w:rPr>
                      <w:color w:val="auto"/>
                      <w:szCs w:val="21"/>
                    </w:rPr>
                  </w:pPr>
                  <w:r>
                    <w:rPr>
                      <w:color w:val="auto"/>
                      <w:szCs w:val="21"/>
                    </w:rPr>
                    <w:t>24.5</w:t>
                  </w:r>
                </w:p>
              </w:tc>
              <w:tc>
                <w:tcPr>
                  <w:tcW w:w="778" w:type="pct"/>
                  <w:vAlign w:val="center"/>
                </w:tcPr>
                <w:p>
                  <w:pPr>
                    <w:adjustRightInd w:val="0"/>
                    <w:snapToGrid w:val="0"/>
                    <w:jc w:val="center"/>
                    <w:rPr>
                      <w:color w:val="auto"/>
                      <w:szCs w:val="21"/>
                    </w:rPr>
                  </w:pPr>
                  <w:r>
                    <w:rPr>
                      <w:color w:val="auto"/>
                      <w:szCs w:val="21"/>
                    </w:rPr>
                    <w:t>35</w:t>
                  </w:r>
                </w:p>
              </w:tc>
              <w:tc>
                <w:tcPr>
                  <w:tcW w:w="833" w:type="pct"/>
                  <w:vAlign w:val="center"/>
                </w:tcPr>
                <w:p>
                  <w:pPr>
                    <w:adjustRightInd w:val="0"/>
                    <w:snapToGrid w:val="0"/>
                    <w:jc w:val="center"/>
                    <w:rPr>
                      <w:color w:val="auto"/>
                      <w:szCs w:val="21"/>
                    </w:rPr>
                  </w:pPr>
                  <w:r>
                    <w:rPr>
                      <w:color w:val="auto"/>
                      <w:szCs w:val="21"/>
                    </w:rPr>
                    <w:t>70.00</w:t>
                  </w:r>
                </w:p>
              </w:tc>
              <w:tc>
                <w:tcPr>
                  <w:tcW w:w="833" w:type="pct"/>
                  <w:vAlign w:val="center"/>
                </w:tcPr>
                <w:p>
                  <w:pPr>
                    <w:adjustRightInd w:val="0"/>
                    <w:snapToGrid w:val="0"/>
                    <w:jc w:val="center"/>
                    <w:rPr>
                      <w:color w:val="auto"/>
                      <w:szCs w:val="21"/>
                    </w:rPr>
                  </w:pPr>
                  <w:r>
                    <w:rPr>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pPr>
                    <w:adjustRightInd w:val="0"/>
                    <w:snapToGrid w:val="0"/>
                    <w:jc w:val="center"/>
                    <w:rPr>
                      <w:color w:val="auto"/>
                      <w:szCs w:val="21"/>
                    </w:rPr>
                  </w:pPr>
                  <w:r>
                    <w:rPr>
                      <w:color w:val="auto"/>
                      <w:szCs w:val="21"/>
                    </w:rPr>
                    <w:t>O</w:t>
                  </w:r>
                  <w:r>
                    <w:rPr>
                      <w:color w:val="auto"/>
                      <w:szCs w:val="21"/>
                      <w:vertAlign w:val="subscript"/>
                    </w:rPr>
                    <w:t>3</w:t>
                  </w:r>
                </w:p>
              </w:tc>
              <w:tc>
                <w:tcPr>
                  <w:tcW w:w="833" w:type="pct"/>
                  <w:vAlign w:val="center"/>
                </w:tcPr>
                <w:p>
                  <w:pPr>
                    <w:adjustRightInd w:val="0"/>
                    <w:snapToGrid w:val="0"/>
                    <w:jc w:val="center"/>
                    <w:rPr>
                      <w:color w:val="auto"/>
                      <w:szCs w:val="21"/>
                    </w:rPr>
                  </w:pPr>
                  <w:r>
                    <w:rPr>
                      <w:color w:val="auto"/>
                      <w:szCs w:val="21"/>
                    </w:rPr>
                    <w:t>日最大8小时均值的第90百分位</w:t>
                  </w:r>
                </w:p>
              </w:tc>
              <w:tc>
                <w:tcPr>
                  <w:tcW w:w="887" w:type="pct"/>
                  <w:vAlign w:val="center"/>
                </w:tcPr>
                <w:p>
                  <w:pPr>
                    <w:adjustRightInd w:val="0"/>
                    <w:snapToGrid w:val="0"/>
                    <w:jc w:val="center"/>
                    <w:rPr>
                      <w:color w:val="auto"/>
                      <w:szCs w:val="21"/>
                    </w:rPr>
                  </w:pPr>
                  <w:r>
                    <w:rPr>
                      <w:color w:val="auto"/>
                      <w:szCs w:val="21"/>
                    </w:rPr>
                    <w:t>122.6</w:t>
                  </w:r>
                </w:p>
              </w:tc>
              <w:tc>
                <w:tcPr>
                  <w:tcW w:w="778" w:type="pct"/>
                  <w:vAlign w:val="center"/>
                </w:tcPr>
                <w:p>
                  <w:pPr>
                    <w:adjustRightInd w:val="0"/>
                    <w:snapToGrid w:val="0"/>
                    <w:jc w:val="center"/>
                    <w:rPr>
                      <w:color w:val="auto"/>
                      <w:szCs w:val="21"/>
                    </w:rPr>
                  </w:pPr>
                  <w:r>
                    <w:rPr>
                      <w:color w:val="auto"/>
                      <w:szCs w:val="21"/>
                    </w:rPr>
                    <w:t>160</w:t>
                  </w:r>
                </w:p>
              </w:tc>
              <w:tc>
                <w:tcPr>
                  <w:tcW w:w="833" w:type="pct"/>
                  <w:vAlign w:val="center"/>
                </w:tcPr>
                <w:p>
                  <w:pPr>
                    <w:adjustRightInd w:val="0"/>
                    <w:snapToGrid w:val="0"/>
                    <w:jc w:val="center"/>
                    <w:rPr>
                      <w:color w:val="auto"/>
                      <w:szCs w:val="21"/>
                    </w:rPr>
                  </w:pPr>
                  <w:r>
                    <w:rPr>
                      <w:color w:val="auto"/>
                      <w:szCs w:val="21"/>
                    </w:rPr>
                    <w:t>76.63</w:t>
                  </w:r>
                </w:p>
              </w:tc>
              <w:tc>
                <w:tcPr>
                  <w:tcW w:w="833" w:type="pct"/>
                  <w:vAlign w:val="center"/>
                </w:tcPr>
                <w:p>
                  <w:pPr>
                    <w:adjustRightInd w:val="0"/>
                    <w:snapToGrid w:val="0"/>
                    <w:jc w:val="center"/>
                    <w:rPr>
                      <w:color w:val="auto"/>
                      <w:szCs w:val="21"/>
                    </w:rPr>
                  </w:pPr>
                  <w:r>
                    <w:rPr>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Align w:val="center"/>
                </w:tcPr>
                <w:p>
                  <w:pPr>
                    <w:adjustRightInd w:val="0"/>
                    <w:snapToGrid w:val="0"/>
                    <w:jc w:val="center"/>
                    <w:rPr>
                      <w:color w:val="auto"/>
                      <w:szCs w:val="21"/>
                    </w:rPr>
                  </w:pPr>
                  <w:r>
                    <w:rPr>
                      <w:color w:val="auto"/>
                      <w:szCs w:val="21"/>
                    </w:rPr>
                    <w:t>CO</w:t>
                  </w:r>
                </w:p>
              </w:tc>
              <w:tc>
                <w:tcPr>
                  <w:tcW w:w="833" w:type="pct"/>
                  <w:vAlign w:val="center"/>
                </w:tcPr>
                <w:p>
                  <w:pPr>
                    <w:adjustRightInd w:val="0"/>
                    <w:snapToGrid w:val="0"/>
                    <w:jc w:val="center"/>
                    <w:rPr>
                      <w:color w:val="auto"/>
                      <w:szCs w:val="21"/>
                    </w:rPr>
                  </w:pPr>
                  <w:r>
                    <w:rPr>
                      <w:color w:val="auto"/>
                      <w:szCs w:val="21"/>
                    </w:rPr>
                    <w:t>24小时均值的第95百分位</w:t>
                  </w:r>
                </w:p>
              </w:tc>
              <w:tc>
                <w:tcPr>
                  <w:tcW w:w="887" w:type="pct"/>
                  <w:vAlign w:val="center"/>
                </w:tcPr>
                <w:p>
                  <w:pPr>
                    <w:adjustRightInd w:val="0"/>
                    <w:snapToGrid w:val="0"/>
                    <w:jc w:val="center"/>
                    <w:rPr>
                      <w:color w:val="auto"/>
                      <w:szCs w:val="21"/>
                    </w:rPr>
                  </w:pPr>
                  <w:r>
                    <w:rPr>
                      <w:color w:val="auto"/>
                      <w:szCs w:val="21"/>
                    </w:rPr>
                    <w:t>1.2</w:t>
                  </w:r>
                </w:p>
              </w:tc>
              <w:tc>
                <w:tcPr>
                  <w:tcW w:w="778" w:type="pct"/>
                  <w:vAlign w:val="center"/>
                </w:tcPr>
                <w:p>
                  <w:pPr>
                    <w:adjustRightInd w:val="0"/>
                    <w:snapToGrid w:val="0"/>
                    <w:jc w:val="center"/>
                    <w:rPr>
                      <w:color w:val="auto"/>
                      <w:szCs w:val="21"/>
                    </w:rPr>
                  </w:pPr>
                  <w:r>
                    <w:rPr>
                      <w:color w:val="auto"/>
                      <w:szCs w:val="21"/>
                    </w:rPr>
                    <w:t>4</w:t>
                  </w:r>
                </w:p>
              </w:tc>
              <w:tc>
                <w:tcPr>
                  <w:tcW w:w="833" w:type="pct"/>
                  <w:vAlign w:val="center"/>
                </w:tcPr>
                <w:p>
                  <w:pPr>
                    <w:adjustRightInd w:val="0"/>
                    <w:snapToGrid w:val="0"/>
                    <w:jc w:val="center"/>
                    <w:rPr>
                      <w:color w:val="auto"/>
                      <w:szCs w:val="21"/>
                    </w:rPr>
                  </w:pPr>
                  <w:r>
                    <w:rPr>
                      <w:color w:val="auto"/>
                      <w:szCs w:val="21"/>
                    </w:rPr>
                    <w:t>30.00</w:t>
                  </w:r>
                </w:p>
              </w:tc>
              <w:tc>
                <w:tcPr>
                  <w:tcW w:w="833" w:type="pct"/>
                  <w:vAlign w:val="center"/>
                </w:tcPr>
                <w:p>
                  <w:pPr>
                    <w:adjustRightInd w:val="0"/>
                    <w:snapToGrid w:val="0"/>
                    <w:jc w:val="center"/>
                    <w:rPr>
                      <w:color w:val="auto"/>
                      <w:szCs w:val="21"/>
                    </w:rPr>
                  </w:pPr>
                  <w:r>
                    <w:rPr>
                      <w:color w:val="auto"/>
                      <w:szCs w:val="21"/>
                    </w:rPr>
                    <w:t>达标</w:t>
                  </w:r>
                </w:p>
              </w:tc>
            </w:tr>
          </w:tbl>
          <w:p>
            <w:pPr>
              <w:adjustRightInd w:val="0"/>
              <w:snapToGrid w:val="0"/>
              <w:spacing w:line="360" w:lineRule="auto"/>
              <w:ind w:firstLine="480" w:firstLineChars="200"/>
              <w:jc w:val="left"/>
              <w:rPr>
                <w:color w:val="auto"/>
                <w:sz w:val="24"/>
                <w:szCs w:val="32"/>
              </w:rPr>
            </w:pPr>
            <w:r>
              <w:rPr>
                <w:color w:val="auto"/>
                <w:sz w:val="24"/>
              </w:rPr>
              <w:t>根据上表可知，广元市SO</w:t>
            </w:r>
            <w:r>
              <w:rPr>
                <w:color w:val="auto"/>
                <w:sz w:val="24"/>
                <w:vertAlign w:val="subscript"/>
              </w:rPr>
              <w:t>2</w:t>
            </w:r>
            <w:r>
              <w:rPr>
                <w:color w:val="auto"/>
                <w:sz w:val="24"/>
              </w:rPr>
              <w:t>、NO</w:t>
            </w:r>
            <w:r>
              <w:rPr>
                <w:color w:val="auto"/>
                <w:sz w:val="24"/>
                <w:vertAlign w:val="subscript"/>
              </w:rPr>
              <w:t>2</w:t>
            </w:r>
            <w:r>
              <w:rPr>
                <w:color w:val="auto"/>
                <w:sz w:val="24"/>
              </w:rPr>
              <w:t>、PM</w:t>
            </w:r>
            <w:r>
              <w:rPr>
                <w:color w:val="auto"/>
                <w:sz w:val="24"/>
                <w:vertAlign w:val="subscript"/>
              </w:rPr>
              <w:t>2.5</w:t>
            </w:r>
            <w:r>
              <w:rPr>
                <w:color w:val="auto"/>
                <w:sz w:val="24"/>
              </w:rPr>
              <w:t>、PM</w:t>
            </w:r>
            <w:r>
              <w:rPr>
                <w:color w:val="auto"/>
                <w:sz w:val="24"/>
                <w:vertAlign w:val="subscript"/>
              </w:rPr>
              <w:t>10</w:t>
            </w:r>
            <w:r>
              <w:rPr>
                <w:color w:val="auto"/>
                <w:sz w:val="24"/>
              </w:rPr>
              <w:t>年均浓度，O</w:t>
            </w:r>
            <w:r>
              <w:rPr>
                <w:color w:val="auto"/>
                <w:sz w:val="24"/>
                <w:vertAlign w:val="subscript"/>
              </w:rPr>
              <w:t>3</w:t>
            </w:r>
            <w:r>
              <w:rPr>
                <w:color w:val="auto"/>
                <w:sz w:val="24"/>
              </w:rPr>
              <w:t>日最大8小时均值的第90百分位数、CO日均值第95百分位数均达到《环境空气质量标准》(GB3095-2012)及其修改单二级标准，项目所在区域为达标区</w:t>
            </w:r>
            <w:r>
              <w:rPr>
                <w:color w:val="auto"/>
                <w:sz w:val="24"/>
                <w:szCs w:val="32"/>
              </w:rPr>
              <w:t>。</w:t>
            </w:r>
          </w:p>
          <w:p>
            <w:pPr>
              <w:adjustRightInd w:val="0"/>
              <w:snapToGrid w:val="0"/>
              <w:spacing w:line="360" w:lineRule="auto"/>
              <w:jc w:val="left"/>
              <w:rPr>
                <w:b/>
                <w:bCs/>
                <w:color w:val="auto"/>
                <w:sz w:val="24"/>
              </w:rPr>
            </w:pPr>
            <w:r>
              <w:rPr>
                <w:b/>
                <w:bCs/>
                <w:color w:val="auto"/>
                <w:sz w:val="24"/>
              </w:rPr>
              <w:t>二、地表水环境质量</w:t>
            </w:r>
          </w:p>
          <w:p>
            <w:pPr>
              <w:adjustRightInd w:val="0"/>
              <w:snapToGrid w:val="0"/>
              <w:spacing w:line="360" w:lineRule="auto"/>
              <w:ind w:firstLine="482" w:firstLineChars="200"/>
              <w:jc w:val="left"/>
              <w:rPr>
                <w:b/>
                <w:bCs/>
                <w:color w:val="auto"/>
                <w:sz w:val="24"/>
              </w:rPr>
            </w:pPr>
            <w:r>
              <w:rPr>
                <w:b/>
                <w:bCs/>
                <w:color w:val="auto"/>
                <w:sz w:val="24"/>
              </w:rPr>
              <w:t>1、区域水环境质量</w:t>
            </w:r>
          </w:p>
          <w:p>
            <w:pPr>
              <w:adjustRightInd w:val="0"/>
              <w:snapToGrid w:val="0"/>
              <w:spacing w:line="360" w:lineRule="auto"/>
              <w:ind w:firstLine="480" w:firstLineChars="200"/>
              <w:jc w:val="left"/>
              <w:rPr>
                <w:color w:val="auto"/>
                <w:sz w:val="24"/>
              </w:rPr>
            </w:pPr>
            <w:r>
              <w:rPr>
                <w:color w:val="auto"/>
                <w:sz w:val="24"/>
              </w:rPr>
              <w:t>本项目编制报告表，根据《建设项目环境影响报告编制技术指南》（生态影响类），应优先选用国务院生态环境主管部门统一发布的水环境状况信息。</w:t>
            </w:r>
          </w:p>
          <w:p>
            <w:pPr>
              <w:adjustRightInd w:val="0"/>
              <w:snapToGrid w:val="0"/>
              <w:spacing w:line="360" w:lineRule="auto"/>
              <w:ind w:firstLine="480" w:firstLineChars="200"/>
              <w:jc w:val="left"/>
              <w:rPr>
                <w:color w:val="auto"/>
                <w:sz w:val="24"/>
              </w:rPr>
            </w:pPr>
            <w:r>
              <w:rPr>
                <w:rFonts w:hint="eastAsia"/>
                <w:color w:val="auto"/>
                <w:sz w:val="24"/>
                <w:lang w:val="en-US" w:eastAsia="zh-CN"/>
              </w:rPr>
              <w:t>广坪河</w:t>
            </w:r>
            <w:r>
              <w:rPr>
                <w:color w:val="auto"/>
                <w:sz w:val="24"/>
              </w:rPr>
              <w:t>是嘉陵江左岸一级支流，发源于陕西省宁强县茅坪乡的石观垭，经川陕交界处的何家坟进入朝天区境内，途经七盘关、中子镇、宣河乡、朝天镇，于朝天城区朱家坝左岸汇入嘉陵江。主河道全长112km，全流域面积1189km² ，其中，省内流域面积455km²，主河道全长35km，平均比降2.14‰。甘肃﹑陕西两省境内流域面积734km²，流域河口高程486.00m，河口最枯流量20m³/s。</w:t>
            </w:r>
          </w:p>
          <w:p>
            <w:pPr>
              <w:adjustRightInd w:val="0"/>
              <w:snapToGrid w:val="0"/>
              <w:spacing w:line="360" w:lineRule="auto"/>
              <w:ind w:firstLine="480" w:firstLineChars="200"/>
              <w:jc w:val="left"/>
              <w:rPr>
                <w:color w:val="auto"/>
                <w:sz w:val="24"/>
              </w:rPr>
            </w:pPr>
            <w:r>
              <w:rPr>
                <w:rFonts w:hint="eastAsia"/>
                <w:color w:val="auto"/>
                <w:sz w:val="24"/>
                <w:lang w:eastAsia="zh-CN"/>
              </w:rPr>
              <w:t>广坪河</w:t>
            </w:r>
            <w:r>
              <w:rPr>
                <w:color w:val="auto"/>
                <w:sz w:val="24"/>
              </w:rPr>
              <w:t>所在嘉陵江流域位于东经102°30′～109°00′，北纬29°20′～34°30′之间。流域地势由北向南倾斜，右支涪江分水岭处得雪宝顶，为全流域最高峰，海拔5588m，嘉陵江昭化以上为上游，属于山区，海拔1000—4000m。上游山势陡峻，河流深切形成峡谷，河流湍急。</w:t>
            </w:r>
          </w:p>
          <w:p>
            <w:pPr>
              <w:adjustRightInd w:val="0"/>
              <w:snapToGrid w:val="0"/>
              <w:spacing w:line="360" w:lineRule="auto"/>
              <w:ind w:firstLine="480" w:firstLineChars="200"/>
              <w:jc w:val="left"/>
              <w:rPr>
                <w:rFonts w:hint="eastAsia" w:eastAsia="宋体"/>
                <w:color w:val="auto"/>
                <w:sz w:val="24"/>
                <w:lang w:val="en-US" w:eastAsia="zh-CN"/>
              </w:rPr>
            </w:pPr>
            <w:r>
              <w:rPr>
                <w:color w:val="auto"/>
                <w:sz w:val="24"/>
              </w:rPr>
              <w:t>拟建工程位于广元市朝天区</w:t>
            </w:r>
            <w:r>
              <w:rPr>
                <w:rFonts w:hint="eastAsia"/>
                <w:color w:val="auto"/>
                <w:sz w:val="24"/>
                <w:lang w:eastAsia="zh-CN"/>
              </w:rPr>
              <w:t>广坪河羊木段</w:t>
            </w:r>
            <w:r>
              <w:rPr>
                <w:color w:val="auto"/>
                <w:sz w:val="24"/>
              </w:rPr>
              <w:t>，工程河段以上控制集雨面积为</w:t>
            </w:r>
            <w:r>
              <w:rPr>
                <w:rFonts w:hint="eastAsia"/>
                <w:color w:val="auto"/>
                <w:sz w:val="24"/>
                <w:lang w:eastAsia="zh-CN"/>
              </w:rPr>
              <w:t>1189km²，</w:t>
            </w:r>
            <w:r>
              <w:rPr>
                <w:color w:val="auto"/>
                <w:sz w:val="24"/>
              </w:rPr>
              <w:t>主河道全长112km，平均比降2.14‰</w:t>
            </w:r>
            <w:r>
              <w:rPr>
                <w:rFonts w:hint="eastAsia"/>
                <w:color w:val="auto"/>
                <w:sz w:val="24"/>
                <w:lang w:eastAsia="zh-CN"/>
              </w:rPr>
              <w:t>。</w:t>
            </w:r>
          </w:p>
          <w:p>
            <w:pPr>
              <w:adjustRightInd w:val="0"/>
              <w:snapToGrid w:val="0"/>
              <w:spacing w:line="360" w:lineRule="auto"/>
              <w:ind w:firstLine="480" w:firstLineChars="200"/>
              <w:jc w:val="left"/>
              <w:rPr>
                <w:color w:val="auto"/>
                <w:sz w:val="24"/>
                <w:szCs w:val="32"/>
              </w:rPr>
            </w:pPr>
            <w:r>
              <w:rPr>
                <w:color w:val="auto"/>
                <w:sz w:val="24"/>
              </w:rPr>
              <w:t>根据广元市生态环境局网站公布的《2022年广元市环境质量状况》（http://hbj.cngy.gov.cn/yshj/show/20230202101526022.html），嘉陵江设置了五个监测断面，在朝天区的断面为元西村断面。</w:t>
            </w:r>
          </w:p>
          <w:p>
            <w:pPr>
              <w:numPr>
                <w:ilvl w:val="0"/>
                <w:numId w:val="8"/>
              </w:numPr>
              <w:adjustRightInd w:val="0"/>
              <w:snapToGrid w:val="0"/>
              <w:jc w:val="center"/>
              <w:rPr>
                <w:b/>
                <w:color w:val="auto"/>
              </w:rPr>
            </w:pPr>
            <w:r>
              <w:rPr>
                <w:b/>
                <w:color w:val="auto"/>
                <w:szCs w:val="21"/>
              </w:rPr>
              <w:t>2022年上半年广元市地表水水质评价结果表</w:t>
            </w:r>
          </w:p>
          <w:p>
            <w:pPr>
              <w:adjustRightInd w:val="0"/>
              <w:snapToGrid w:val="0"/>
              <w:spacing w:line="360" w:lineRule="auto"/>
              <w:jc w:val="center"/>
              <w:rPr>
                <w:color w:val="auto"/>
              </w:rPr>
            </w:pPr>
            <w:r>
              <w:rPr>
                <w:color w:val="auto"/>
              </w:rPr>
              <w:drawing>
                <wp:inline distT="0" distB="0" distL="114300" distR="114300">
                  <wp:extent cx="5113020" cy="5077460"/>
                  <wp:effectExtent l="0" t="0" r="11430" b="8890"/>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18"/>
                          <a:stretch>
                            <a:fillRect/>
                          </a:stretch>
                        </pic:blipFill>
                        <pic:spPr>
                          <a:xfrm>
                            <a:off x="0" y="0"/>
                            <a:ext cx="5113020" cy="5077460"/>
                          </a:xfrm>
                          <a:prstGeom prst="rect">
                            <a:avLst/>
                          </a:prstGeom>
                          <a:noFill/>
                          <a:ln>
                            <a:noFill/>
                          </a:ln>
                        </pic:spPr>
                      </pic:pic>
                    </a:graphicData>
                  </a:graphic>
                </wp:inline>
              </w:drawing>
            </w:r>
          </w:p>
          <w:p>
            <w:pPr>
              <w:adjustRightInd w:val="0"/>
              <w:snapToGrid w:val="0"/>
              <w:spacing w:line="360" w:lineRule="auto"/>
              <w:ind w:firstLine="480" w:firstLineChars="200"/>
              <w:jc w:val="left"/>
              <w:rPr>
                <w:color w:val="auto"/>
                <w:sz w:val="24"/>
              </w:rPr>
            </w:pPr>
            <w:r>
              <w:rPr>
                <w:color w:val="auto"/>
                <w:sz w:val="24"/>
              </w:rPr>
              <w:t>由上表可知，2022年项目所在区域嘉陵江监测断面满足《地表水环境质量标准》（GB3838-2002）表1中Ⅱ类水质要求，区域地表水环境质量现状良好。</w:t>
            </w:r>
          </w:p>
          <w:p>
            <w:pPr>
              <w:spacing w:line="360" w:lineRule="auto"/>
              <w:ind w:firstLine="482" w:firstLineChars="200"/>
              <w:rPr>
                <w:b/>
                <w:bCs/>
                <w:color w:val="auto"/>
                <w:sz w:val="24"/>
              </w:rPr>
            </w:pPr>
            <w:r>
              <w:rPr>
                <w:b/>
                <w:bCs/>
                <w:color w:val="auto"/>
                <w:sz w:val="24"/>
              </w:rPr>
              <w:t>2、补充水质监测</w:t>
            </w:r>
          </w:p>
          <w:p>
            <w:pPr>
              <w:spacing w:line="360" w:lineRule="auto"/>
              <w:ind w:firstLine="480" w:firstLineChars="200"/>
              <w:rPr>
                <w:color w:val="auto"/>
                <w:sz w:val="24"/>
              </w:rPr>
            </w:pPr>
            <w:r>
              <w:rPr>
                <w:color w:val="auto"/>
                <w:sz w:val="24"/>
              </w:rPr>
              <w:t>为进一步了解项目所在广坪河水质情况，本次评价委托四川锡水金山环保科技有限公司于2023年6月6日至6月8日（共3d）对项目区域水质进行监测，监测情况如下。</w:t>
            </w:r>
          </w:p>
          <w:p>
            <w:pPr>
              <w:spacing w:line="360" w:lineRule="auto"/>
              <w:ind w:firstLine="480" w:firstLineChars="200"/>
              <w:rPr>
                <w:color w:val="auto"/>
                <w:sz w:val="24"/>
              </w:rPr>
            </w:pPr>
            <w:r>
              <w:rPr>
                <w:color w:val="auto"/>
                <w:sz w:val="24"/>
              </w:rPr>
              <w:t>（1）监测内容</w:t>
            </w:r>
          </w:p>
          <w:p>
            <w:pPr>
              <w:spacing w:line="360" w:lineRule="auto"/>
              <w:ind w:firstLine="480" w:firstLineChars="200"/>
              <w:rPr>
                <w:color w:val="auto"/>
                <w:sz w:val="24"/>
              </w:rPr>
            </w:pPr>
            <w:r>
              <w:rPr>
                <w:color w:val="auto"/>
                <w:sz w:val="24"/>
              </w:rPr>
              <w:t>本次监测内容如下。</w:t>
            </w:r>
          </w:p>
          <w:p>
            <w:pPr>
              <w:numPr>
                <w:ilvl w:val="0"/>
                <w:numId w:val="8"/>
              </w:numPr>
              <w:adjustRightInd w:val="0"/>
              <w:snapToGrid w:val="0"/>
              <w:jc w:val="center"/>
              <w:rPr>
                <w:b/>
                <w:color w:val="auto"/>
              </w:rPr>
            </w:pPr>
            <w:r>
              <w:rPr>
                <w:b/>
                <w:color w:val="auto"/>
                <w:szCs w:val="21"/>
              </w:rPr>
              <w:t>地表水监测内容及频次</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3550"/>
              <w:gridCol w:w="989"/>
              <w:gridCol w:w="2082"/>
              <w:gridCol w:w="957"/>
              <w:gridCol w:w="8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2096" w:type="pct"/>
                  <w:vMerge w:val="restart"/>
                  <w:tcBorders>
                    <w:tl2br w:val="nil"/>
                    <w:tr2bl w:val="nil"/>
                  </w:tcBorders>
                  <w:vAlign w:val="center"/>
                </w:tcPr>
                <w:p>
                  <w:pPr>
                    <w:jc w:val="center"/>
                    <w:rPr>
                      <w:b/>
                      <w:color w:val="auto"/>
                      <w:szCs w:val="21"/>
                      <w:lang w:bidi="ar"/>
                    </w:rPr>
                  </w:pPr>
                  <w:r>
                    <w:rPr>
                      <w:b/>
                      <w:color w:val="auto"/>
                      <w:szCs w:val="21"/>
                      <w:lang w:bidi="ar"/>
                    </w:rPr>
                    <w:t>检测点位</w:t>
                  </w:r>
                </w:p>
              </w:tc>
              <w:tc>
                <w:tcPr>
                  <w:tcW w:w="584" w:type="pct"/>
                  <w:vMerge w:val="restart"/>
                  <w:tcBorders>
                    <w:tl2br w:val="nil"/>
                    <w:tr2bl w:val="nil"/>
                  </w:tcBorders>
                  <w:vAlign w:val="center"/>
                </w:tcPr>
                <w:p>
                  <w:pPr>
                    <w:jc w:val="center"/>
                    <w:rPr>
                      <w:b/>
                      <w:color w:val="auto"/>
                      <w:szCs w:val="21"/>
                      <w:lang w:bidi="ar"/>
                    </w:rPr>
                  </w:pPr>
                  <w:r>
                    <w:rPr>
                      <w:b/>
                      <w:color w:val="auto"/>
                      <w:szCs w:val="21"/>
                      <w:lang w:bidi="ar"/>
                    </w:rPr>
                    <w:t>点位数</w:t>
                  </w:r>
                </w:p>
              </w:tc>
              <w:tc>
                <w:tcPr>
                  <w:tcW w:w="1230" w:type="pct"/>
                  <w:vMerge w:val="restart"/>
                  <w:tcBorders>
                    <w:tl2br w:val="nil"/>
                    <w:tr2bl w:val="nil"/>
                  </w:tcBorders>
                  <w:vAlign w:val="center"/>
                </w:tcPr>
                <w:p>
                  <w:pPr>
                    <w:jc w:val="center"/>
                    <w:rPr>
                      <w:b/>
                      <w:color w:val="auto"/>
                      <w:szCs w:val="21"/>
                      <w:lang w:bidi="ar"/>
                    </w:rPr>
                  </w:pPr>
                  <w:r>
                    <w:rPr>
                      <w:b/>
                      <w:color w:val="auto"/>
                      <w:szCs w:val="21"/>
                      <w:lang w:bidi="ar"/>
                    </w:rPr>
                    <w:t>检测项目</w:t>
                  </w:r>
                </w:p>
              </w:tc>
              <w:tc>
                <w:tcPr>
                  <w:tcW w:w="1089" w:type="pct"/>
                  <w:gridSpan w:val="2"/>
                  <w:tcBorders>
                    <w:tl2br w:val="nil"/>
                    <w:tr2bl w:val="nil"/>
                  </w:tcBorders>
                  <w:vAlign w:val="center"/>
                </w:tcPr>
                <w:p>
                  <w:pPr>
                    <w:jc w:val="center"/>
                    <w:rPr>
                      <w:b/>
                      <w:color w:val="auto"/>
                      <w:szCs w:val="21"/>
                      <w:lang w:bidi="ar"/>
                    </w:rPr>
                  </w:pPr>
                  <w:r>
                    <w:rPr>
                      <w:b/>
                      <w:color w:val="auto"/>
                      <w:szCs w:val="21"/>
                      <w:lang w:bidi="ar"/>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2096" w:type="pct"/>
                  <w:vMerge w:val="continue"/>
                  <w:tcBorders>
                    <w:tl2br w:val="nil"/>
                    <w:tr2bl w:val="nil"/>
                  </w:tcBorders>
                  <w:vAlign w:val="center"/>
                </w:tcPr>
                <w:p>
                  <w:pPr>
                    <w:jc w:val="center"/>
                    <w:rPr>
                      <w:b/>
                      <w:color w:val="auto"/>
                      <w:szCs w:val="21"/>
                      <w:lang w:bidi="ar"/>
                    </w:rPr>
                  </w:pPr>
                </w:p>
              </w:tc>
              <w:tc>
                <w:tcPr>
                  <w:tcW w:w="584" w:type="pct"/>
                  <w:vMerge w:val="continue"/>
                  <w:tcBorders>
                    <w:tl2br w:val="nil"/>
                    <w:tr2bl w:val="nil"/>
                  </w:tcBorders>
                  <w:vAlign w:val="center"/>
                </w:tcPr>
                <w:p>
                  <w:pPr>
                    <w:jc w:val="center"/>
                    <w:rPr>
                      <w:b/>
                      <w:color w:val="auto"/>
                      <w:szCs w:val="21"/>
                      <w:lang w:bidi="ar"/>
                    </w:rPr>
                  </w:pPr>
                </w:p>
              </w:tc>
              <w:tc>
                <w:tcPr>
                  <w:tcW w:w="1230" w:type="pct"/>
                  <w:vMerge w:val="continue"/>
                  <w:tcBorders>
                    <w:tl2br w:val="nil"/>
                    <w:tr2bl w:val="nil"/>
                  </w:tcBorders>
                  <w:vAlign w:val="center"/>
                </w:tcPr>
                <w:p>
                  <w:pPr>
                    <w:jc w:val="center"/>
                    <w:rPr>
                      <w:b/>
                      <w:color w:val="auto"/>
                      <w:szCs w:val="21"/>
                      <w:lang w:bidi="ar"/>
                    </w:rPr>
                  </w:pPr>
                </w:p>
              </w:tc>
              <w:tc>
                <w:tcPr>
                  <w:tcW w:w="565" w:type="pct"/>
                  <w:tcBorders>
                    <w:tl2br w:val="nil"/>
                    <w:tr2bl w:val="nil"/>
                  </w:tcBorders>
                  <w:vAlign w:val="center"/>
                </w:tcPr>
                <w:p>
                  <w:pPr>
                    <w:jc w:val="center"/>
                    <w:rPr>
                      <w:b/>
                      <w:color w:val="auto"/>
                      <w:szCs w:val="21"/>
                      <w:lang w:bidi="ar"/>
                    </w:rPr>
                  </w:pPr>
                  <w:r>
                    <w:rPr>
                      <w:b/>
                      <w:color w:val="auto"/>
                      <w:szCs w:val="21"/>
                      <w:lang w:bidi="ar"/>
                    </w:rPr>
                    <w:t>天</w:t>
                  </w:r>
                </w:p>
              </w:tc>
              <w:tc>
                <w:tcPr>
                  <w:tcW w:w="523" w:type="pct"/>
                  <w:tcBorders>
                    <w:tl2br w:val="nil"/>
                    <w:tr2bl w:val="nil"/>
                  </w:tcBorders>
                  <w:vAlign w:val="center"/>
                </w:tcPr>
                <w:p>
                  <w:pPr>
                    <w:jc w:val="center"/>
                    <w:rPr>
                      <w:b/>
                      <w:color w:val="auto"/>
                      <w:szCs w:val="21"/>
                      <w:lang w:bidi="ar"/>
                    </w:rPr>
                  </w:pPr>
                  <w:r>
                    <w:rPr>
                      <w:b/>
                      <w:color w:val="auto"/>
                      <w:szCs w:val="21"/>
                      <w:lang w:bidi="ar"/>
                    </w:rPr>
                    <w:t>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2096" w:type="pct"/>
                  <w:tcBorders>
                    <w:tl2br w:val="nil"/>
                    <w:tr2bl w:val="nil"/>
                  </w:tcBorders>
                  <w:vAlign w:val="center"/>
                </w:tcPr>
                <w:p>
                  <w:pPr>
                    <w:widowControl/>
                    <w:jc w:val="center"/>
                    <w:textAlignment w:val="center"/>
                    <w:rPr>
                      <w:color w:val="auto"/>
                      <w:spacing w:val="3"/>
                      <w:szCs w:val="21"/>
                    </w:rPr>
                  </w:pPr>
                  <w:bookmarkStart w:id="13" w:name="地表水1"/>
                  <w:r>
                    <w:rPr>
                      <w:color w:val="auto"/>
                      <w:kern w:val="0"/>
                      <w:szCs w:val="21"/>
                      <w:lang w:bidi="ar"/>
                    </w:rPr>
                    <w:t xml:space="preserve">1# </w:t>
                  </w:r>
                  <w:r>
                    <w:rPr>
                      <w:bCs/>
                      <w:color w:val="auto"/>
                      <w:szCs w:val="21"/>
                    </w:rPr>
                    <w:t>广坪河河段项目清淤终点上游100m处</w:t>
                  </w:r>
                  <w:bookmarkEnd w:id="13"/>
                </w:p>
              </w:tc>
              <w:tc>
                <w:tcPr>
                  <w:tcW w:w="584" w:type="pct"/>
                  <w:vMerge w:val="restart"/>
                  <w:tcBorders>
                    <w:tl2br w:val="nil"/>
                    <w:tr2bl w:val="nil"/>
                  </w:tcBorders>
                  <w:vAlign w:val="center"/>
                </w:tcPr>
                <w:p>
                  <w:pPr>
                    <w:jc w:val="center"/>
                    <w:rPr>
                      <w:bCs/>
                      <w:color w:val="auto"/>
                      <w:szCs w:val="21"/>
                      <w:lang w:bidi="ar"/>
                    </w:rPr>
                  </w:pPr>
                  <w:r>
                    <w:rPr>
                      <w:bCs/>
                      <w:color w:val="auto"/>
                      <w:szCs w:val="21"/>
                      <w:lang w:bidi="ar"/>
                    </w:rPr>
                    <w:t>3</w:t>
                  </w:r>
                </w:p>
              </w:tc>
              <w:tc>
                <w:tcPr>
                  <w:tcW w:w="1230" w:type="pct"/>
                  <w:vMerge w:val="restart"/>
                  <w:tcBorders>
                    <w:tl2br w:val="nil"/>
                    <w:tr2bl w:val="nil"/>
                  </w:tcBorders>
                  <w:vAlign w:val="center"/>
                </w:tcPr>
                <w:p>
                  <w:pPr>
                    <w:tabs>
                      <w:tab w:val="left" w:pos="1890"/>
                    </w:tabs>
                    <w:jc w:val="center"/>
                    <w:rPr>
                      <w:color w:val="auto"/>
                      <w:szCs w:val="21"/>
                    </w:rPr>
                  </w:pPr>
                  <w:r>
                    <w:rPr>
                      <w:color w:val="auto"/>
                      <w:szCs w:val="21"/>
                    </w:rPr>
                    <w:t>pH、溶解氧、水温、悬浮物、化学需氧量、五日生化需氧量、</w:t>
                  </w:r>
                  <w:r>
                    <w:rPr>
                      <w:color w:val="auto"/>
                      <w:kern w:val="0"/>
                      <w:szCs w:val="21"/>
                    </w:rPr>
                    <w:t>氨氮</w:t>
                  </w:r>
                  <w:r>
                    <w:rPr>
                      <w:color w:val="auto"/>
                      <w:szCs w:val="21"/>
                    </w:rPr>
                    <w:t>、</w:t>
                  </w:r>
                  <w:r>
                    <w:rPr>
                      <w:bCs/>
                      <w:color w:val="auto"/>
                      <w:szCs w:val="21"/>
                      <w:lang w:bidi="ar"/>
                    </w:rPr>
                    <w:t>总磷、</w:t>
                  </w:r>
                  <w:r>
                    <w:rPr>
                      <w:color w:val="auto"/>
                      <w:szCs w:val="21"/>
                    </w:rPr>
                    <w:t>石油类、粪大肠菌群</w:t>
                  </w:r>
                </w:p>
              </w:tc>
              <w:tc>
                <w:tcPr>
                  <w:tcW w:w="565" w:type="pct"/>
                  <w:vMerge w:val="restart"/>
                  <w:tcBorders>
                    <w:tl2br w:val="nil"/>
                    <w:tr2bl w:val="nil"/>
                  </w:tcBorders>
                  <w:vAlign w:val="center"/>
                </w:tcPr>
                <w:p>
                  <w:pPr>
                    <w:jc w:val="center"/>
                    <w:rPr>
                      <w:bCs/>
                      <w:color w:val="auto"/>
                      <w:szCs w:val="21"/>
                      <w:lang w:bidi="ar"/>
                    </w:rPr>
                  </w:pPr>
                  <w:r>
                    <w:rPr>
                      <w:bCs/>
                      <w:color w:val="auto"/>
                      <w:szCs w:val="21"/>
                      <w:lang w:bidi="ar"/>
                    </w:rPr>
                    <w:t>3</w:t>
                  </w:r>
                </w:p>
              </w:tc>
              <w:tc>
                <w:tcPr>
                  <w:tcW w:w="523" w:type="pct"/>
                  <w:vMerge w:val="restart"/>
                  <w:tcBorders>
                    <w:tl2br w:val="nil"/>
                    <w:tr2bl w:val="nil"/>
                  </w:tcBorders>
                  <w:vAlign w:val="center"/>
                </w:tcPr>
                <w:p>
                  <w:pPr>
                    <w:jc w:val="center"/>
                    <w:rPr>
                      <w:bCs/>
                      <w:color w:val="auto"/>
                      <w:szCs w:val="21"/>
                      <w:lang w:bidi="ar"/>
                    </w:rPr>
                  </w:pPr>
                  <w:r>
                    <w:rPr>
                      <w:bCs/>
                      <w:color w:val="auto"/>
                      <w:szCs w:val="21"/>
                      <w:lang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2096" w:type="pct"/>
                  <w:tcBorders>
                    <w:tl2br w:val="nil"/>
                    <w:tr2bl w:val="nil"/>
                  </w:tcBorders>
                  <w:vAlign w:val="center"/>
                </w:tcPr>
                <w:p>
                  <w:pPr>
                    <w:widowControl/>
                    <w:jc w:val="center"/>
                    <w:textAlignment w:val="center"/>
                    <w:rPr>
                      <w:color w:val="auto"/>
                      <w:spacing w:val="3"/>
                      <w:szCs w:val="21"/>
                    </w:rPr>
                  </w:pPr>
                  <w:r>
                    <w:rPr>
                      <w:color w:val="auto"/>
                      <w:kern w:val="0"/>
                      <w:szCs w:val="21"/>
                      <w:lang w:bidi="ar"/>
                    </w:rPr>
                    <w:t xml:space="preserve">2# </w:t>
                  </w:r>
                  <w:r>
                    <w:rPr>
                      <w:bCs/>
                      <w:color w:val="auto"/>
                      <w:szCs w:val="21"/>
                    </w:rPr>
                    <w:t>广坪河河段项目堤防起点下游500m处</w:t>
                  </w:r>
                </w:p>
              </w:tc>
              <w:tc>
                <w:tcPr>
                  <w:tcW w:w="584" w:type="pct"/>
                  <w:vMerge w:val="continue"/>
                  <w:tcBorders>
                    <w:tl2br w:val="nil"/>
                    <w:tr2bl w:val="nil"/>
                  </w:tcBorders>
                  <w:vAlign w:val="center"/>
                </w:tcPr>
                <w:p>
                  <w:pPr>
                    <w:jc w:val="center"/>
                    <w:rPr>
                      <w:bCs/>
                      <w:color w:val="auto"/>
                      <w:szCs w:val="21"/>
                      <w:lang w:bidi="ar"/>
                    </w:rPr>
                  </w:pPr>
                </w:p>
              </w:tc>
              <w:tc>
                <w:tcPr>
                  <w:tcW w:w="1230" w:type="pct"/>
                  <w:vMerge w:val="continue"/>
                  <w:tcBorders>
                    <w:tl2br w:val="nil"/>
                    <w:tr2bl w:val="nil"/>
                  </w:tcBorders>
                  <w:vAlign w:val="center"/>
                </w:tcPr>
                <w:p>
                  <w:pPr>
                    <w:tabs>
                      <w:tab w:val="left" w:pos="1890"/>
                    </w:tabs>
                    <w:jc w:val="center"/>
                    <w:rPr>
                      <w:color w:val="auto"/>
                      <w:szCs w:val="21"/>
                    </w:rPr>
                  </w:pPr>
                </w:p>
              </w:tc>
              <w:tc>
                <w:tcPr>
                  <w:tcW w:w="565" w:type="pct"/>
                  <w:vMerge w:val="continue"/>
                  <w:tcBorders>
                    <w:tl2br w:val="nil"/>
                    <w:tr2bl w:val="nil"/>
                  </w:tcBorders>
                  <w:vAlign w:val="center"/>
                </w:tcPr>
                <w:p>
                  <w:pPr>
                    <w:jc w:val="center"/>
                    <w:rPr>
                      <w:bCs/>
                      <w:color w:val="auto"/>
                      <w:szCs w:val="21"/>
                      <w:lang w:bidi="ar"/>
                    </w:rPr>
                  </w:pPr>
                </w:p>
              </w:tc>
              <w:tc>
                <w:tcPr>
                  <w:tcW w:w="523" w:type="pct"/>
                  <w:vMerge w:val="continue"/>
                  <w:tcBorders>
                    <w:tl2br w:val="nil"/>
                    <w:tr2bl w:val="nil"/>
                  </w:tcBorders>
                  <w:vAlign w:val="center"/>
                </w:tcPr>
                <w:p>
                  <w:pPr>
                    <w:jc w:val="center"/>
                    <w:rPr>
                      <w:bCs/>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2096" w:type="pct"/>
                  <w:tcBorders>
                    <w:tl2br w:val="nil"/>
                    <w:tr2bl w:val="nil"/>
                  </w:tcBorders>
                  <w:vAlign w:val="center"/>
                </w:tcPr>
                <w:p>
                  <w:pPr>
                    <w:adjustRightInd w:val="0"/>
                    <w:snapToGrid w:val="0"/>
                    <w:jc w:val="center"/>
                    <w:rPr>
                      <w:color w:val="auto"/>
                      <w:spacing w:val="3"/>
                      <w:szCs w:val="21"/>
                    </w:rPr>
                  </w:pPr>
                  <w:r>
                    <w:rPr>
                      <w:bCs/>
                      <w:color w:val="auto"/>
                    </w:rPr>
                    <w:t xml:space="preserve">3# </w:t>
                  </w:r>
                  <w:r>
                    <w:rPr>
                      <w:bCs/>
                      <w:color w:val="auto"/>
                      <w:szCs w:val="21"/>
                    </w:rPr>
                    <w:t>嘉陵江河段项目堤防起点下游1000m处</w:t>
                  </w:r>
                </w:p>
              </w:tc>
              <w:tc>
                <w:tcPr>
                  <w:tcW w:w="584" w:type="pct"/>
                  <w:vMerge w:val="continue"/>
                  <w:tcBorders>
                    <w:tl2br w:val="nil"/>
                    <w:tr2bl w:val="nil"/>
                  </w:tcBorders>
                  <w:vAlign w:val="center"/>
                </w:tcPr>
                <w:p>
                  <w:pPr>
                    <w:jc w:val="center"/>
                    <w:rPr>
                      <w:bCs/>
                      <w:color w:val="auto"/>
                      <w:szCs w:val="21"/>
                      <w:lang w:bidi="ar"/>
                    </w:rPr>
                  </w:pPr>
                </w:p>
              </w:tc>
              <w:tc>
                <w:tcPr>
                  <w:tcW w:w="1230" w:type="pct"/>
                  <w:vMerge w:val="continue"/>
                  <w:tcBorders>
                    <w:tl2br w:val="nil"/>
                    <w:tr2bl w:val="nil"/>
                  </w:tcBorders>
                  <w:vAlign w:val="center"/>
                </w:tcPr>
                <w:p>
                  <w:pPr>
                    <w:tabs>
                      <w:tab w:val="left" w:pos="1890"/>
                    </w:tabs>
                    <w:jc w:val="center"/>
                    <w:rPr>
                      <w:color w:val="auto"/>
                      <w:szCs w:val="21"/>
                    </w:rPr>
                  </w:pPr>
                </w:p>
              </w:tc>
              <w:tc>
                <w:tcPr>
                  <w:tcW w:w="565" w:type="pct"/>
                  <w:vMerge w:val="continue"/>
                  <w:tcBorders>
                    <w:tl2br w:val="nil"/>
                    <w:tr2bl w:val="nil"/>
                  </w:tcBorders>
                  <w:vAlign w:val="center"/>
                </w:tcPr>
                <w:p>
                  <w:pPr>
                    <w:jc w:val="center"/>
                    <w:rPr>
                      <w:bCs/>
                      <w:color w:val="auto"/>
                      <w:szCs w:val="21"/>
                      <w:lang w:bidi="ar"/>
                    </w:rPr>
                  </w:pPr>
                </w:p>
              </w:tc>
              <w:tc>
                <w:tcPr>
                  <w:tcW w:w="523" w:type="pct"/>
                  <w:vMerge w:val="continue"/>
                  <w:tcBorders>
                    <w:tl2br w:val="nil"/>
                    <w:tr2bl w:val="nil"/>
                  </w:tcBorders>
                  <w:vAlign w:val="center"/>
                </w:tcPr>
                <w:p>
                  <w:pPr>
                    <w:jc w:val="center"/>
                    <w:rPr>
                      <w:bCs/>
                      <w:color w:val="auto"/>
                      <w:szCs w:val="21"/>
                      <w:lang w:bidi="ar"/>
                    </w:rPr>
                  </w:pPr>
                </w:p>
              </w:tc>
            </w:tr>
          </w:tbl>
          <w:p>
            <w:pPr>
              <w:numPr>
                <w:ilvl w:val="0"/>
                <w:numId w:val="0"/>
              </w:num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监测及评价结果</w:t>
            </w:r>
          </w:p>
          <w:p>
            <w:pPr>
              <w:spacing w:line="360" w:lineRule="auto"/>
              <w:ind w:firstLine="480" w:firstLineChars="200"/>
              <w:rPr>
                <w:color w:val="auto"/>
                <w:sz w:val="24"/>
              </w:rPr>
            </w:pPr>
            <w:r>
              <w:rPr>
                <w:color w:val="auto"/>
                <w:sz w:val="24"/>
              </w:rPr>
              <w:t>地表水现状监测结果统计与评价见下表。</w:t>
            </w:r>
          </w:p>
          <w:p>
            <w:pPr>
              <w:numPr>
                <w:ilvl w:val="0"/>
                <w:numId w:val="8"/>
              </w:numPr>
              <w:adjustRightInd w:val="0"/>
              <w:snapToGrid w:val="0"/>
              <w:jc w:val="center"/>
              <w:rPr>
                <w:b/>
                <w:color w:val="auto"/>
              </w:rPr>
            </w:pPr>
            <w:r>
              <w:rPr>
                <w:b/>
                <w:bCs/>
                <w:color w:val="auto"/>
                <w:szCs w:val="21"/>
              </w:rPr>
              <w:t>本项目地表水水质监测内容表  单位：mg/L</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2037"/>
              <w:gridCol w:w="1379"/>
              <w:gridCol w:w="1661"/>
              <w:gridCol w:w="1693"/>
              <w:gridCol w:w="1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b/>
                      <w:bCs/>
                      <w:color w:val="auto"/>
                    </w:rPr>
                    <w:t>评价因子</w:t>
                  </w:r>
                </w:p>
              </w:tc>
              <w:tc>
                <w:tcPr>
                  <w:tcW w:w="815" w:type="pct"/>
                  <w:tcBorders>
                    <w:tl2br w:val="nil"/>
                    <w:tr2bl w:val="nil"/>
                  </w:tcBorders>
                  <w:vAlign w:val="center"/>
                </w:tcPr>
                <w:p>
                  <w:pPr>
                    <w:pStyle w:val="236"/>
                    <w:rPr>
                      <w:b/>
                      <w:color w:val="auto"/>
                      <w:lang w:bidi="ar"/>
                    </w:rPr>
                  </w:pPr>
                  <w:r>
                    <w:rPr>
                      <w:b/>
                      <w:bCs/>
                      <w:color w:val="auto"/>
                    </w:rPr>
                    <w:t>标准限值</w:t>
                  </w:r>
                </w:p>
              </w:tc>
              <w:tc>
                <w:tcPr>
                  <w:tcW w:w="980" w:type="pct"/>
                  <w:tcBorders>
                    <w:tl2br w:val="nil"/>
                    <w:tr2bl w:val="nil"/>
                  </w:tcBorders>
                  <w:vAlign w:val="center"/>
                </w:tcPr>
                <w:p>
                  <w:pPr>
                    <w:pStyle w:val="236"/>
                    <w:rPr>
                      <w:b/>
                      <w:color w:val="auto"/>
                      <w:lang w:bidi="ar"/>
                    </w:rPr>
                  </w:pPr>
                  <w:r>
                    <w:rPr>
                      <w:b/>
                      <w:bCs/>
                      <w:color w:val="auto"/>
                    </w:rPr>
                    <w:t>监测结果</w:t>
                  </w:r>
                </w:p>
              </w:tc>
              <w:tc>
                <w:tcPr>
                  <w:tcW w:w="999" w:type="pct"/>
                  <w:tcBorders>
                    <w:tl2br w:val="nil"/>
                    <w:tr2bl w:val="nil"/>
                  </w:tcBorders>
                  <w:vAlign w:val="center"/>
                </w:tcPr>
                <w:p>
                  <w:pPr>
                    <w:pStyle w:val="236"/>
                    <w:rPr>
                      <w:b/>
                      <w:color w:val="auto"/>
                      <w:lang w:bidi="ar"/>
                    </w:rPr>
                  </w:pPr>
                  <w:r>
                    <w:rPr>
                      <w:b/>
                      <w:bCs/>
                      <w:color w:val="auto"/>
                    </w:rPr>
                    <w:t>超标率（%）</w:t>
                  </w:r>
                </w:p>
              </w:tc>
              <w:tc>
                <w:tcPr>
                  <w:tcW w:w="1000" w:type="pct"/>
                  <w:tcBorders>
                    <w:tl2br w:val="nil"/>
                    <w:tr2bl w:val="nil"/>
                  </w:tcBorders>
                  <w:vAlign w:val="center"/>
                </w:tcPr>
                <w:p>
                  <w:pPr>
                    <w:pStyle w:val="236"/>
                    <w:rPr>
                      <w:b/>
                      <w:color w:val="auto"/>
                      <w:lang w:bidi="ar"/>
                    </w:rPr>
                  </w:pPr>
                  <w:r>
                    <w:rPr>
                      <w:b/>
                      <w:bCs/>
                      <w:color w:val="auto"/>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rPr>
                    <w:t>pH</w:t>
                  </w:r>
                </w:p>
              </w:tc>
              <w:tc>
                <w:tcPr>
                  <w:tcW w:w="815" w:type="pct"/>
                  <w:tcBorders>
                    <w:tl2br w:val="nil"/>
                    <w:tr2bl w:val="nil"/>
                  </w:tcBorders>
                  <w:vAlign w:val="center"/>
                </w:tcPr>
                <w:p>
                  <w:pPr>
                    <w:pStyle w:val="236"/>
                    <w:rPr>
                      <w:b/>
                      <w:color w:val="auto"/>
                      <w:lang w:bidi="ar"/>
                    </w:rPr>
                  </w:pPr>
                  <w:r>
                    <w:rPr>
                      <w:color w:val="auto"/>
                    </w:rPr>
                    <w:t>6~9</w:t>
                  </w:r>
                </w:p>
              </w:tc>
              <w:tc>
                <w:tcPr>
                  <w:tcW w:w="980" w:type="pct"/>
                  <w:tcBorders>
                    <w:tl2br w:val="nil"/>
                    <w:tr2bl w:val="nil"/>
                  </w:tcBorders>
                  <w:vAlign w:val="center"/>
                </w:tcPr>
                <w:p>
                  <w:pPr>
                    <w:pStyle w:val="236"/>
                    <w:rPr>
                      <w:bCs/>
                      <w:color w:val="auto"/>
                      <w:lang w:val="en-US" w:bidi="ar"/>
                    </w:rPr>
                  </w:pPr>
                  <w:r>
                    <w:rPr>
                      <w:bCs/>
                      <w:color w:val="auto"/>
                      <w:lang w:val="en-US" w:bidi="ar"/>
                    </w:rPr>
                    <w:t>7.0~7.3</w:t>
                  </w:r>
                </w:p>
              </w:tc>
              <w:tc>
                <w:tcPr>
                  <w:tcW w:w="999" w:type="pct"/>
                  <w:tcBorders>
                    <w:tl2br w:val="nil"/>
                    <w:tr2bl w:val="nil"/>
                  </w:tcBorders>
                  <w:vAlign w:val="center"/>
                </w:tcPr>
                <w:p>
                  <w:pPr>
                    <w:pStyle w:val="236"/>
                    <w:rPr>
                      <w:b/>
                      <w:color w:val="auto"/>
                      <w:lang w:bidi="ar"/>
                    </w:rPr>
                  </w:pPr>
                  <w:r>
                    <w:rPr>
                      <w:color w:val="auto"/>
                    </w:rPr>
                    <w:t>/</w:t>
                  </w:r>
                </w:p>
              </w:tc>
              <w:tc>
                <w:tcPr>
                  <w:tcW w:w="1000" w:type="pct"/>
                  <w:tcBorders>
                    <w:tl2br w:val="nil"/>
                    <w:tr2bl w:val="nil"/>
                  </w:tcBorders>
                  <w:vAlign w:val="center"/>
                </w:tcPr>
                <w:p>
                  <w:pPr>
                    <w:pStyle w:val="236"/>
                    <w:rPr>
                      <w:b/>
                      <w:color w:val="auto"/>
                      <w:lang w:bidi="ar"/>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rPr>
                    <w:t>溶解氧</w:t>
                  </w:r>
                </w:p>
              </w:tc>
              <w:tc>
                <w:tcPr>
                  <w:tcW w:w="815" w:type="pct"/>
                  <w:tcBorders>
                    <w:tl2br w:val="nil"/>
                    <w:tr2bl w:val="nil"/>
                  </w:tcBorders>
                  <w:vAlign w:val="center"/>
                </w:tcPr>
                <w:p>
                  <w:pPr>
                    <w:pStyle w:val="236"/>
                    <w:rPr>
                      <w:b/>
                      <w:color w:val="auto"/>
                      <w:lang w:bidi="ar"/>
                    </w:rPr>
                  </w:pPr>
                  <w:r>
                    <w:rPr>
                      <w:color w:val="auto"/>
                    </w:rPr>
                    <w:t>≥5</w:t>
                  </w:r>
                </w:p>
              </w:tc>
              <w:tc>
                <w:tcPr>
                  <w:tcW w:w="980" w:type="pct"/>
                  <w:tcBorders>
                    <w:tl2br w:val="nil"/>
                    <w:tr2bl w:val="nil"/>
                  </w:tcBorders>
                  <w:vAlign w:val="center"/>
                </w:tcPr>
                <w:p>
                  <w:pPr>
                    <w:pStyle w:val="236"/>
                    <w:rPr>
                      <w:bCs/>
                      <w:color w:val="auto"/>
                      <w:lang w:val="en-US" w:bidi="ar"/>
                    </w:rPr>
                  </w:pPr>
                  <w:r>
                    <w:rPr>
                      <w:bCs/>
                      <w:color w:val="auto"/>
                      <w:lang w:val="en-US" w:bidi="ar"/>
                    </w:rPr>
                    <w:t>6.3~6.6</w:t>
                  </w:r>
                </w:p>
              </w:tc>
              <w:tc>
                <w:tcPr>
                  <w:tcW w:w="999" w:type="pct"/>
                  <w:tcBorders>
                    <w:tl2br w:val="nil"/>
                    <w:tr2bl w:val="nil"/>
                  </w:tcBorders>
                  <w:vAlign w:val="center"/>
                </w:tcPr>
                <w:p>
                  <w:pPr>
                    <w:pStyle w:val="236"/>
                    <w:rPr>
                      <w:b/>
                      <w:color w:val="auto"/>
                      <w:lang w:bidi="ar"/>
                    </w:rPr>
                  </w:pPr>
                  <w:r>
                    <w:rPr>
                      <w:color w:val="auto"/>
                    </w:rPr>
                    <w:t>/</w:t>
                  </w:r>
                </w:p>
              </w:tc>
              <w:tc>
                <w:tcPr>
                  <w:tcW w:w="1000" w:type="pct"/>
                  <w:tcBorders>
                    <w:tl2br w:val="nil"/>
                    <w:tr2bl w:val="nil"/>
                  </w:tcBorders>
                  <w:vAlign w:val="center"/>
                </w:tcPr>
                <w:p>
                  <w:pPr>
                    <w:pStyle w:val="236"/>
                    <w:rPr>
                      <w:b/>
                      <w:color w:val="auto"/>
                      <w:lang w:bidi="ar"/>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rPr>
                    <w:t>悬浮物（SS）</w:t>
                  </w:r>
                </w:p>
              </w:tc>
              <w:tc>
                <w:tcPr>
                  <w:tcW w:w="815" w:type="pct"/>
                  <w:tcBorders>
                    <w:tl2br w:val="nil"/>
                    <w:tr2bl w:val="nil"/>
                  </w:tcBorders>
                  <w:vAlign w:val="center"/>
                </w:tcPr>
                <w:p>
                  <w:pPr>
                    <w:pStyle w:val="236"/>
                    <w:rPr>
                      <w:b/>
                      <w:color w:val="auto"/>
                      <w:lang w:bidi="ar"/>
                    </w:rPr>
                  </w:pPr>
                  <w:r>
                    <w:rPr>
                      <w:color w:val="auto"/>
                    </w:rPr>
                    <w:t>/</w:t>
                  </w:r>
                </w:p>
              </w:tc>
              <w:tc>
                <w:tcPr>
                  <w:tcW w:w="980" w:type="pct"/>
                  <w:tcBorders>
                    <w:tl2br w:val="nil"/>
                    <w:tr2bl w:val="nil"/>
                  </w:tcBorders>
                  <w:vAlign w:val="center"/>
                </w:tcPr>
                <w:p>
                  <w:pPr>
                    <w:pStyle w:val="236"/>
                    <w:rPr>
                      <w:bCs/>
                      <w:color w:val="auto"/>
                      <w:lang w:val="en-US" w:bidi="ar"/>
                    </w:rPr>
                  </w:pPr>
                  <w:r>
                    <w:rPr>
                      <w:bCs/>
                      <w:color w:val="auto"/>
                      <w:lang w:val="en-US" w:bidi="ar"/>
                    </w:rPr>
                    <w:t>5~10</w:t>
                  </w:r>
                </w:p>
              </w:tc>
              <w:tc>
                <w:tcPr>
                  <w:tcW w:w="999" w:type="pct"/>
                  <w:tcBorders>
                    <w:tl2br w:val="nil"/>
                    <w:tr2bl w:val="nil"/>
                  </w:tcBorders>
                  <w:vAlign w:val="center"/>
                </w:tcPr>
                <w:p>
                  <w:pPr>
                    <w:pStyle w:val="236"/>
                    <w:rPr>
                      <w:b/>
                      <w:color w:val="auto"/>
                      <w:lang w:bidi="ar"/>
                    </w:rPr>
                  </w:pPr>
                  <w:r>
                    <w:rPr>
                      <w:color w:val="auto"/>
                    </w:rPr>
                    <w:t>/</w:t>
                  </w:r>
                </w:p>
              </w:tc>
              <w:tc>
                <w:tcPr>
                  <w:tcW w:w="1000" w:type="pct"/>
                  <w:tcBorders>
                    <w:tl2br w:val="nil"/>
                    <w:tr2bl w:val="nil"/>
                  </w:tcBorders>
                  <w:vAlign w:val="center"/>
                </w:tcPr>
                <w:p>
                  <w:pPr>
                    <w:pStyle w:val="236"/>
                    <w:rPr>
                      <w:b/>
                      <w:color w:val="auto"/>
                      <w:lang w:bidi="ar"/>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rPr>
                    <w:t>化学需氧量（COD）</w:t>
                  </w:r>
                </w:p>
              </w:tc>
              <w:tc>
                <w:tcPr>
                  <w:tcW w:w="815" w:type="pct"/>
                  <w:tcBorders>
                    <w:tl2br w:val="nil"/>
                    <w:tr2bl w:val="nil"/>
                  </w:tcBorders>
                  <w:vAlign w:val="center"/>
                </w:tcPr>
                <w:p>
                  <w:pPr>
                    <w:pStyle w:val="236"/>
                    <w:rPr>
                      <w:b/>
                      <w:color w:val="auto"/>
                      <w:lang w:bidi="ar"/>
                    </w:rPr>
                  </w:pPr>
                  <w:r>
                    <w:rPr>
                      <w:color w:val="auto"/>
                    </w:rPr>
                    <w:t>≤20</w:t>
                  </w:r>
                </w:p>
              </w:tc>
              <w:tc>
                <w:tcPr>
                  <w:tcW w:w="980" w:type="pct"/>
                  <w:tcBorders>
                    <w:tl2br w:val="nil"/>
                    <w:tr2bl w:val="nil"/>
                  </w:tcBorders>
                  <w:vAlign w:val="center"/>
                </w:tcPr>
                <w:p>
                  <w:pPr>
                    <w:pStyle w:val="236"/>
                    <w:rPr>
                      <w:bCs/>
                      <w:color w:val="auto"/>
                      <w:lang w:val="en-US" w:bidi="ar"/>
                    </w:rPr>
                  </w:pPr>
                  <w:r>
                    <w:rPr>
                      <w:bCs/>
                      <w:color w:val="auto"/>
                      <w:lang w:val="en-US" w:bidi="ar"/>
                    </w:rPr>
                    <w:t>9~17</w:t>
                  </w:r>
                </w:p>
              </w:tc>
              <w:tc>
                <w:tcPr>
                  <w:tcW w:w="999" w:type="pct"/>
                  <w:tcBorders>
                    <w:tl2br w:val="nil"/>
                    <w:tr2bl w:val="nil"/>
                  </w:tcBorders>
                  <w:vAlign w:val="center"/>
                </w:tcPr>
                <w:p>
                  <w:pPr>
                    <w:pStyle w:val="236"/>
                    <w:rPr>
                      <w:b/>
                      <w:color w:val="auto"/>
                      <w:lang w:bidi="ar"/>
                    </w:rPr>
                  </w:pPr>
                  <w:r>
                    <w:rPr>
                      <w:color w:val="auto"/>
                    </w:rPr>
                    <w:t>/</w:t>
                  </w:r>
                </w:p>
              </w:tc>
              <w:tc>
                <w:tcPr>
                  <w:tcW w:w="1000" w:type="pct"/>
                  <w:tcBorders>
                    <w:tl2br w:val="nil"/>
                    <w:tr2bl w:val="nil"/>
                  </w:tcBorders>
                  <w:vAlign w:val="center"/>
                </w:tcPr>
                <w:p>
                  <w:pPr>
                    <w:pStyle w:val="236"/>
                    <w:rPr>
                      <w:b/>
                      <w:color w:val="auto"/>
                      <w:lang w:bidi="ar"/>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val="en-US" w:bidi="ar"/>
                    </w:rPr>
                  </w:pPr>
                  <w:r>
                    <w:rPr>
                      <w:color w:val="auto"/>
                    </w:rPr>
                    <w:t>五日生化需氧量</w:t>
                  </w:r>
                  <w:r>
                    <w:rPr>
                      <w:color w:val="auto"/>
                      <w:lang w:val="en-US"/>
                    </w:rPr>
                    <w:t>（BOD</w:t>
                  </w:r>
                  <w:r>
                    <w:rPr>
                      <w:color w:val="auto"/>
                      <w:vertAlign w:val="subscript"/>
                      <w:lang w:val="en-US"/>
                    </w:rPr>
                    <w:t>5</w:t>
                  </w:r>
                  <w:r>
                    <w:rPr>
                      <w:color w:val="auto"/>
                      <w:lang w:val="en-US"/>
                    </w:rPr>
                    <w:t>）</w:t>
                  </w:r>
                </w:p>
              </w:tc>
              <w:tc>
                <w:tcPr>
                  <w:tcW w:w="815" w:type="pct"/>
                  <w:tcBorders>
                    <w:tl2br w:val="nil"/>
                    <w:tr2bl w:val="nil"/>
                  </w:tcBorders>
                  <w:vAlign w:val="center"/>
                </w:tcPr>
                <w:p>
                  <w:pPr>
                    <w:pStyle w:val="236"/>
                    <w:rPr>
                      <w:b/>
                      <w:color w:val="auto"/>
                      <w:lang w:bidi="ar"/>
                    </w:rPr>
                  </w:pPr>
                  <w:r>
                    <w:rPr>
                      <w:color w:val="auto"/>
                    </w:rPr>
                    <w:t>≤4</w:t>
                  </w:r>
                </w:p>
              </w:tc>
              <w:tc>
                <w:tcPr>
                  <w:tcW w:w="980" w:type="pct"/>
                  <w:tcBorders>
                    <w:tl2br w:val="nil"/>
                    <w:tr2bl w:val="nil"/>
                  </w:tcBorders>
                  <w:vAlign w:val="center"/>
                </w:tcPr>
                <w:p>
                  <w:pPr>
                    <w:pStyle w:val="236"/>
                    <w:rPr>
                      <w:bCs/>
                      <w:color w:val="auto"/>
                      <w:lang w:val="en-US" w:bidi="ar"/>
                    </w:rPr>
                  </w:pPr>
                  <w:r>
                    <w:rPr>
                      <w:bCs/>
                      <w:color w:val="auto"/>
                      <w:lang w:val="en-US" w:bidi="ar"/>
                    </w:rPr>
                    <w:t>2.2~3.9</w:t>
                  </w:r>
                </w:p>
              </w:tc>
              <w:tc>
                <w:tcPr>
                  <w:tcW w:w="999" w:type="pct"/>
                  <w:tcBorders>
                    <w:tl2br w:val="nil"/>
                    <w:tr2bl w:val="nil"/>
                  </w:tcBorders>
                  <w:vAlign w:val="center"/>
                </w:tcPr>
                <w:p>
                  <w:pPr>
                    <w:pStyle w:val="236"/>
                    <w:rPr>
                      <w:b/>
                      <w:color w:val="auto"/>
                      <w:lang w:bidi="ar"/>
                    </w:rPr>
                  </w:pPr>
                  <w:r>
                    <w:rPr>
                      <w:color w:val="auto"/>
                    </w:rPr>
                    <w:t>/</w:t>
                  </w:r>
                </w:p>
              </w:tc>
              <w:tc>
                <w:tcPr>
                  <w:tcW w:w="1000" w:type="pct"/>
                  <w:tcBorders>
                    <w:tl2br w:val="nil"/>
                    <w:tr2bl w:val="nil"/>
                  </w:tcBorders>
                  <w:vAlign w:val="center"/>
                </w:tcPr>
                <w:p>
                  <w:pPr>
                    <w:pStyle w:val="236"/>
                    <w:rPr>
                      <w:b/>
                      <w:color w:val="auto"/>
                      <w:lang w:bidi="ar"/>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rPr>
                    <w:t>氨氮（NH</w:t>
                  </w:r>
                  <w:r>
                    <w:rPr>
                      <w:color w:val="auto"/>
                      <w:vertAlign w:val="subscript"/>
                    </w:rPr>
                    <w:t>3</w:t>
                  </w:r>
                  <w:r>
                    <w:rPr>
                      <w:color w:val="auto"/>
                    </w:rPr>
                    <w:t>-N）</w:t>
                  </w:r>
                </w:p>
              </w:tc>
              <w:tc>
                <w:tcPr>
                  <w:tcW w:w="815" w:type="pct"/>
                  <w:tcBorders>
                    <w:tl2br w:val="nil"/>
                    <w:tr2bl w:val="nil"/>
                  </w:tcBorders>
                  <w:vAlign w:val="center"/>
                </w:tcPr>
                <w:p>
                  <w:pPr>
                    <w:pStyle w:val="236"/>
                    <w:rPr>
                      <w:b/>
                      <w:color w:val="auto"/>
                      <w:lang w:bidi="ar"/>
                    </w:rPr>
                  </w:pPr>
                  <w:r>
                    <w:rPr>
                      <w:color w:val="auto"/>
                    </w:rPr>
                    <w:t>≤1.0</w:t>
                  </w:r>
                </w:p>
              </w:tc>
              <w:tc>
                <w:tcPr>
                  <w:tcW w:w="980" w:type="pct"/>
                  <w:tcBorders>
                    <w:tl2br w:val="nil"/>
                    <w:tr2bl w:val="nil"/>
                  </w:tcBorders>
                  <w:vAlign w:val="center"/>
                </w:tcPr>
                <w:p>
                  <w:pPr>
                    <w:pStyle w:val="236"/>
                    <w:rPr>
                      <w:bCs/>
                      <w:color w:val="auto"/>
                      <w:lang w:val="en-US" w:bidi="ar"/>
                    </w:rPr>
                  </w:pPr>
                  <w:r>
                    <w:rPr>
                      <w:bCs/>
                      <w:color w:val="auto"/>
                      <w:lang w:val="en-US" w:bidi="ar"/>
                    </w:rPr>
                    <w:t>0.069~0.263</w:t>
                  </w:r>
                </w:p>
              </w:tc>
              <w:tc>
                <w:tcPr>
                  <w:tcW w:w="999" w:type="pct"/>
                  <w:tcBorders>
                    <w:tl2br w:val="nil"/>
                    <w:tr2bl w:val="nil"/>
                  </w:tcBorders>
                  <w:vAlign w:val="center"/>
                </w:tcPr>
                <w:p>
                  <w:pPr>
                    <w:pStyle w:val="236"/>
                    <w:rPr>
                      <w:b/>
                      <w:color w:val="auto"/>
                      <w:lang w:bidi="ar"/>
                    </w:rPr>
                  </w:pPr>
                  <w:r>
                    <w:rPr>
                      <w:color w:val="auto"/>
                    </w:rPr>
                    <w:t>/</w:t>
                  </w:r>
                </w:p>
              </w:tc>
              <w:tc>
                <w:tcPr>
                  <w:tcW w:w="1000" w:type="pct"/>
                  <w:tcBorders>
                    <w:tl2br w:val="nil"/>
                    <w:tr2bl w:val="nil"/>
                  </w:tcBorders>
                  <w:vAlign w:val="center"/>
                </w:tcPr>
                <w:p>
                  <w:pPr>
                    <w:pStyle w:val="236"/>
                    <w:rPr>
                      <w:b/>
                      <w:color w:val="auto"/>
                      <w:lang w:bidi="ar"/>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rPr>
                    <w:t>总磷</w:t>
                  </w:r>
                </w:p>
              </w:tc>
              <w:tc>
                <w:tcPr>
                  <w:tcW w:w="815" w:type="pct"/>
                  <w:tcBorders>
                    <w:tl2br w:val="nil"/>
                    <w:tr2bl w:val="nil"/>
                  </w:tcBorders>
                  <w:vAlign w:val="center"/>
                </w:tcPr>
                <w:p>
                  <w:pPr>
                    <w:pStyle w:val="236"/>
                    <w:rPr>
                      <w:b/>
                      <w:color w:val="auto"/>
                      <w:lang w:bidi="ar"/>
                    </w:rPr>
                  </w:pPr>
                  <w:r>
                    <w:rPr>
                      <w:color w:val="auto"/>
                    </w:rPr>
                    <w:t>≤0.2</w:t>
                  </w:r>
                </w:p>
              </w:tc>
              <w:tc>
                <w:tcPr>
                  <w:tcW w:w="980" w:type="pct"/>
                  <w:tcBorders>
                    <w:tl2br w:val="nil"/>
                    <w:tr2bl w:val="nil"/>
                  </w:tcBorders>
                  <w:vAlign w:val="center"/>
                </w:tcPr>
                <w:p>
                  <w:pPr>
                    <w:pStyle w:val="236"/>
                    <w:rPr>
                      <w:bCs/>
                      <w:color w:val="auto"/>
                      <w:lang w:val="en-US" w:bidi="ar"/>
                    </w:rPr>
                  </w:pPr>
                  <w:r>
                    <w:rPr>
                      <w:bCs/>
                      <w:color w:val="auto"/>
                      <w:lang w:val="en-US" w:bidi="ar"/>
                    </w:rPr>
                    <w:t>0.06~0.06</w:t>
                  </w:r>
                </w:p>
              </w:tc>
              <w:tc>
                <w:tcPr>
                  <w:tcW w:w="999" w:type="pct"/>
                  <w:tcBorders>
                    <w:tl2br w:val="nil"/>
                    <w:tr2bl w:val="nil"/>
                  </w:tcBorders>
                  <w:vAlign w:val="center"/>
                </w:tcPr>
                <w:p>
                  <w:pPr>
                    <w:pStyle w:val="236"/>
                    <w:rPr>
                      <w:b/>
                      <w:color w:val="auto"/>
                      <w:lang w:bidi="ar"/>
                    </w:rPr>
                  </w:pPr>
                  <w:r>
                    <w:rPr>
                      <w:color w:val="auto"/>
                    </w:rPr>
                    <w:t>/</w:t>
                  </w:r>
                </w:p>
              </w:tc>
              <w:tc>
                <w:tcPr>
                  <w:tcW w:w="1000" w:type="pct"/>
                  <w:tcBorders>
                    <w:tl2br w:val="nil"/>
                    <w:tr2bl w:val="nil"/>
                  </w:tcBorders>
                  <w:vAlign w:val="center"/>
                </w:tcPr>
                <w:p>
                  <w:pPr>
                    <w:pStyle w:val="236"/>
                    <w:rPr>
                      <w:b/>
                      <w:color w:val="auto"/>
                      <w:lang w:bidi="ar"/>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lang w:val="en-US"/>
                    </w:rPr>
                    <w:t>石油类</w:t>
                  </w:r>
                </w:p>
              </w:tc>
              <w:tc>
                <w:tcPr>
                  <w:tcW w:w="815" w:type="pct"/>
                  <w:tcBorders>
                    <w:tl2br w:val="nil"/>
                    <w:tr2bl w:val="nil"/>
                  </w:tcBorders>
                  <w:vAlign w:val="center"/>
                </w:tcPr>
                <w:p>
                  <w:pPr>
                    <w:pStyle w:val="236"/>
                    <w:rPr>
                      <w:b/>
                      <w:color w:val="auto"/>
                      <w:lang w:bidi="ar"/>
                    </w:rPr>
                  </w:pPr>
                  <w:r>
                    <w:rPr>
                      <w:color w:val="auto"/>
                    </w:rPr>
                    <w:t>≤0.</w:t>
                  </w:r>
                  <w:r>
                    <w:rPr>
                      <w:color w:val="auto"/>
                      <w:lang w:val="en-US"/>
                    </w:rPr>
                    <w:t>05</w:t>
                  </w:r>
                </w:p>
              </w:tc>
              <w:tc>
                <w:tcPr>
                  <w:tcW w:w="980" w:type="pct"/>
                  <w:tcBorders>
                    <w:tl2br w:val="nil"/>
                    <w:tr2bl w:val="nil"/>
                  </w:tcBorders>
                  <w:vAlign w:val="center"/>
                </w:tcPr>
                <w:p>
                  <w:pPr>
                    <w:pStyle w:val="236"/>
                    <w:rPr>
                      <w:bCs/>
                      <w:color w:val="auto"/>
                      <w:lang w:val="en-US" w:bidi="ar"/>
                    </w:rPr>
                  </w:pPr>
                  <w:r>
                    <w:rPr>
                      <w:bCs/>
                      <w:color w:val="auto"/>
                      <w:lang w:val="en-US" w:bidi="ar"/>
                    </w:rPr>
                    <w:t>0.01</w:t>
                  </w:r>
                </w:p>
              </w:tc>
              <w:tc>
                <w:tcPr>
                  <w:tcW w:w="999" w:type="pct"/>
                  <w:tcBorders>
                    <w:tl2br w:val="nil"/>
                    <w:tr2bl w:val="nil"/>
                  </w:tcBorders>
                  <w:vAlign w:val="center"/>
                </w:tcPr>
                <w:p>
                  <w:pPr>
                    <w:pStyle w:val="236"/>
                    <w:rPr>
                      <w:b/>
                      <w:color w:val="auto"/>
                      <w:lang w:bidi="ar"/>
                    </w:rPr>
                  </w:pPr>
                  <w:r>
                    <w:rPr>
                      <w:color w:val="auto"/>
                      <w:lang w:val="en-US"/>
                    </w:rPr>
                    <w:t>/</w:t>
                  </w:r>
                </w:p>
              </w:tc>
              <w:tc>
                <w:tcPr>
                  <w:tcW w:w="1000" w:type="pct"/>
                  <w:tcBorders>
                    <w:tl2br w:val="nil"/>
                    <w:tr2bl w:val="nil"/>
                  </w:tcBorders>
                  <w:vAlign w:val="center"/>
                </w:tcPr>
                <w:p>
                  <w:pPr>
                    <w:pStyle w:val="236"/>
                    <w:rPr>
                      <w:b/>
                      <w:color w:val="auto"/>
                      <w:lang w:bidi="ar"/>
                    </w:rPr>
                  </w:pPr>
                  <w:r>
                    <w:rPr>
                      <w:color w:val="auto"/>
                      <w:lang w:val="en-US"/>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 w:hRule="atLeast"/>
                <w:tblHeader/>
                <w:jc w:val="center"/>
              </w:trPr>
              <w:tc>
                <w:tcPr>
                  <w:tcW w:w="1203" w:type="pct"/>
                  <w:tcBorders>
                    <w:tl2br w:val="nil"/>
                    <w:tr2bl w:val="nil"/>
                  </w:tcBorders>
                  <w:vAlign w:val="center"/>
                </w:tcPr>
                <w:p>
                  <w:pPr>
                    <w:pStyle w:val="236"/>
                    <w:rPr>
                      <w:b/>
                      <w:color w:val="auto"/>
                      <w:lang w:bidi="ar"/>
                    </w:rPr>
                  </w:pPr>
                  <w:r>
                    <w:rPr>
                      <w:color w:val="auto"/>
                    </w:rPr>
                    <w:t>粪大肠菌群</w:t>
                  </w:r>
                </w:p>
              </w:tc>
              <w:tc>
                <w:tcPr>
                  <w:tcW w:w="815" w:type="pct"/>
                  <w:tcBorders>
                    <w:tl2br w:val="nil"/>
                    <w:tr2bl w:val="nil"/>
                  </w:tcBorders>
                  <w:vAlign w:val="center"/>
                </w:tcPr>
                <w:p>
                  <w:pPr>
                    <w:pStyle w:val="236"/>
                    <w:rPr>
                      <w:b/>
                      <w:color w:val="auto"/>
                      <w:lang w:bidi="ar"/>
                    </w:rPr>
                  </w:pPr>
                  <w:r>
                    <w:rPr>
                      <w:bCs/>
                      <w:color w:val="auto"/>
                      <w:lang w:val="en-US" w:bidi="ar"/>
                    </w:rPr>
                    <w:t>≤10000个/L</w:t>
                  </w:r>
                </w:p>
              </w:tc>
              <w:tc>
                <w:tcPr>
                  <w:tcW w:w="980" w:type="pct"/>
                  <w:tcBorders>
                    <w:tl2br w:val="nil"/>
                    <w:tr2bl w:val="nil"/>
                  </w:tcBorders>
                  <w:vAlign w:val="center"/>
                </w:tcPr>
                <w:p>
                  <w:pPr>
                    <w:pStyle w:val="236"/>
                    <w:rPr>
                      <w:bCs/>
                      <w:color w:val="auto"/>
                      <w:lang w:val="en-US" w:bidi="ar"/>
                    </w:rPr>
                  </w:pPr>
                  <w:r>
                    <w:rPr>
                      <w:bCs/>
                      <w:color w:val="auto"/>
                      <w:lang w:val="en-US" w:bidi="ar"/>
                    </w:rPr>
                    <w:t>400~900MPN/L</w:t>
                  </w:r>
                </w:p>
              </w:tc>
              <w:tc>
                <w:tcPr>
                  <w:tcW w:w="999" w:type="pct"/>
                  <w:tcBorders>
                    <w:tl2br w:val="nil"/>
                    <w:tr2bl w:val="nil"/>
                  </w:tcBorders>
                  <w:vAlign w:val="center"/>
                </w:tcPr>
                <w:p>
                  <w:pPr>
                    <w:pStyle w:val="236"/>
                    <w:rPr>
                      <w:b/>
                      <w:color w:val="auto"/>
                      <w:lang w:bidi="ar"/>
                    </w:rPr>
                  </w:pPr>
                  <w:r>
                    <w:rPr>
                      <w:color w:val="auto"/>
                      <w:lang w:val="en-US"/>
                    </w:rPr>
                    <w:t>/</w:t>
                  </w:r>
                </w:p>
              </w:tc>
              <w:tc>
                <w:tcPr>
                  <w:tcW w:w="1000" w:type="pct"/>
                  <w:tcBorders>
                    <w:tl2br w:val="nil"/>
                    <w:tr2bl w:val="nil"/>
                  </w:tcBorders>
                  <w:vAlign w:val="center"/>
                </w:tcPr>
                <w:p>
                  <w:pPr>
                    <w:pStyle w:val="236"/>
                    <w:rPr>
                      <w:b/>
                      <w:color w:val="auto"/>
                      <w:lang w:bidi="ar"/>
                    </w:rPr>
                  </w:pPr>
                  <w:r>
                    <w:rPr>
                      <w:color w:val="auto"/>
                      <w:lang w:val="en-US"/>
                    </w:rPr>
                    <w:t>达标</w:t>
                  </w:r>
                </w:p>
              </w:tc>
            </w:tr>
          </w:tbl>
          <w:p>
            <w:pPr>
              <w:adjustRightInd w:val="0"/>
              <w:snapToGrid w:val="0"/>
              <w:spacing w:line="360" w:lineRule="auto"/>
              <w:ind w:firstLine="480" w:firstLineChars="200"/>
              <w:jc w:val="left"/>
              <w:rPr>
                <w:color w:val="auto"/>
                <w:sz w:val="24"/>
              </w:rPr>
            </w:pPr>
            <w:r>
              <w:rPr>
                <w:color w:val="auto"/>
                <w:sz w:val="24"/>
              </w:rPr>
              <w:t>由上表可知，项目区域地表水监测断面各检测指标均能满足《地表水环境质量标准》中III类水体的要求，区域地表水环境质量较好。</w:t>
            </w:r>
          </w:p>
          <w:p>
            <w:pPr>
              <w:spacing w:line="360" w:lineRule="auto"/>
              <w:ind w:firstLine="482" w:firstLineChars="200"/>
              <w:rPr>
                <w:b/>
                <w:bCs/>
                <w:color w:val="auto"/>
                <w:sz w:val="24"/>
              </w:rPr>
            </w:pPr>
            <w:r>
              <w:rPr>
                <w:b/>
                <w:bCs/>
                <w:color w:val="auto"/>
                <w:sz w:val="24"/>
              </w:rPr>
              <w:t>3、补充底泥监测</w:t>
            </w:r>
          </w:p>
          <w:p>
            <w:pPr>
              <w:spacing w:line="360" w:lineRule="auto"/>
              <w:ind w:firstLine="480" w:firstLineChars="200"/>
              <w:rPr>
                <w:color w:val="auto"/>
                <w:sz w:val="24"/>
              </w:rPr>
            </w:pPr>
            <w:r>
              <w:rPr>
                <w:color w:val="auto"/>
                <w:sz w:val="24"/>
              </w:rPr>
              <w:t>为了解本项目疏浚段底泥质量状况，本次评价委托四川锡水金山环保科技有限公司于2023年6月6日对项目疏浚段沉积物进行了监测，监测结果如下。</w:t>
            </w:r>
          </w:p>
          <w:p>
            <w:pPr>
              <w:numPr>
                <w:ilvl w:val="0"/>
                <w:numId w:val="8"/>
              </w:numPr>
              <w:adjustRightInd w:val="0"/>
              <w:snapToGrid w:val="0"/>
              <w:jc w:val="center"/>
              <w:rPr>
                <w:b/>
                <w:color w:val="auto"/>
              </w:rPr>
            </w:pPr>
            <w:r>
              <w:rPr>
                <w:b/>
                <w:bCs/>
                <w:color w:val="auto"/>
                <w:szCs w:val="21"/>
              </w:rPr>
              <w:t>本项目沉积物监测结果表</w:t>
            </w:r>
          </w:p>
          <w:tbl>
            <w:tblPr>
              <w:tblStyle w:val="3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956"/>
              <w:gridCol w:w="1064"/>
              <w:gridCol w:w="746"/>
              <w:gridCol w:w="1601"/>
              <w:gridCol w:w="1603"/>
              <w:gridCol w:w="1246"/>
              <w:gridCol w:w="12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tblHeader/>
                <w:jc w:val="center"/>
              </w:trPr>
              <w:tc>
                <w:tcPr>
                  <w:tcW w:w="564" w:type="pct"/>
                  <w:vMerge w:val="restart"/>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采样日期</w:t>
                  </w:r>
                </w:p>
              </w:tc>
              <w:tc>
                <w:tcPr>
                  <w:tcW w:w="628" w:type="pct"/>
                  <w:vMerge w:val="restart"/>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检测项目</w:t>
                  </w:r>
                </w:p>
              </w:tc>
              <w:tc>
                <w:tcPr>
                  <w:tcW w:w="440" w:type="pct"/>
                  <w:vMerge w:val="restart"/>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单位</w:t>
                  </w:r>
                </w:p>
              </w:tc>
              <w:tc>
                <w:tcPr>
                  <w:tcW w:w="1893" w:type="pct"/>
                  <w:gridSpan w:val="2"/>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检测结果</w:t>
                  </w:r>
                </w:p>
              </w:tc>
              <w:tc>
                <w:tcPr>
                  <w:tcW w:w="1473" w:type="pct"/>
                  <w:gridSpan w:val="2"/>
                  <w:vMerge w:val="restart"/>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标准限值（mg/kg）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tblHeader/>
                <w:jc w:val="center"/>
              </w:trPr>
              <w:tc>
                <w:tcPr>
                  <w:tcW w:w="564" w:type="pct"/>
                  <w:vMerge w:val="continue"/>
                  <w:vAlign w:val="center"/>
                </w:tcPr>
                <w:p>
                  <w:pPr>
                    <w:widowControl/>
                    <w:jc w:val="center"/>
                    <w:textAlignment w:val="center"/>
                    <w:rPr>
                      <w:bCs/>
                      <w:color w:val="auto"/>
                      <w:szCs w:val="21"/>
                    </w:rPr>
                  </w:pPr>
                </w:p>
              </w:tc>
              <w:tc>
                <w:tcPr>
                  <w:tcW w:w="628" w:type="pct"/>
                  <w:vMerge w:val="continue"/>
                  <w:vAlign w:val="center"/>
                </w:tcPr>
                <w:p>
                  <w:pPr>
                    <w:widowControl/>
                    <w:jc w:val="center"/>
                    <w:textAlignment w:val="center"/>
                    <w:rPr>
                      <w:rStyle w:val="88"/>
                      <w:color w:val="auto"/>
                      <w:lang w:bidi="ar"/>
                    </w:rPr>
                  </w:pPr>
                </w:p>
              </w:tc>
              <w:tc>
                <w:tcPr>
                  <w:tcW w:w="440" w:type="pct"/>
                  <w:vMerge w:val="continue"/>
                  <w:vAlign w:val="center"/>
                </w:tcPr>
                <w:p>
                  <w:pPr>
                    <w:widowControl/>
                    <w:adjustRightInd w:val="0"/>
                    <w:jc w:val="center"/>
                    <w:rPr>
                      <w:bCs/>
                      <w:color w:val="auto"/>
                      <w:szCs w:val="21"/>
                      <w:lang w:bidi="ar"/>
                    </w:rPr>
                  </w:pPr>
                </w:p>
              </w:tc>
              <w:tc>
                <w:tcPr>
                  <w:tcW w:w="946" w:type="pct"/>
                  <w:vAlign w:val="center"/>
                </w:tcPr>
                <w:p>
                  <w:pPr>
                    <w:widowControl/>
                    <w:jc w:val="center"/>
                    <w:textAlignment w:val="center"/>
                    <w:rPr>
                      <w:b/>
                      <w:color w:val="auto"/>
                      <w:kern w:val="0"/>
                      <w:szCs w:val="21"/>
                    </w:rPr>
                  </w:pPr>
                  <w:r>
                    <w:rPr>
                      <w:b/>
                      <w:color w:val="auto"/>
                      <w:kern w:val="0"/>
                      <w:szCs w:val="21"/>
                    </w:rPr>
                    <w:fldChar w:fldCharType="begin"/>
                  </w:r>
                  <w:r>
                    <w:rPr>
                      <w:b/>
                      <w:color w:val="auto"/>
                      <w:kern w:val="0"/>
                      <w:szCs w:val="21"/>
                    </w:rPr>
                    <w:instrText xml:space="preserve"> REF 沉积物1 \h \* MERGEFORMAT</w:instrText>
                  </w:r>
                  <w:r>
                    <w:rPr>
                      <w:b/>
                      <w:color w:val="auto"/>
                      <w:kern w:val="0"/>
                      <w:szCs w:val="21"/>
                    </w:rPr>
                    <w:fldChar w:fldCharType="separate"/>
                  </w:r>
                  <w:r>
                    <w:rPr>
                      <w:b/>
                      <w:color w:val="auto"/>
                      <w:kern w:val="0"/>
                      <w:szCs w:val="21"/>
                    </w:rPr>
                    <w:t>1# 广坪河清淤区Ⅵ</w:t>
                  </w:r>
                  <w:r>
                    <w:rPr>
                      <w:b/>
                      <w:color w:val="auto"/>
                      <w:kern w:val="0"/>
                      <w:szCs w:val="21"/>
                    </w:rPr>
                    <w:fldChar w:fldCharType="end"/>
                  </w:r>
                </w:p>
              </w:tc>
              <w:tc>
                <w:tcPr>
                  <w:tcW w:w="947" w:type="pct"/>
                  <w:vAlign w:val="center"/>
                </w:tcPr>
                <w:p>
                  <w:pPr>
                    <w:widowControl/>
                    <w:jc w:val="center"/>
                    <w:textAlignment w:val="center"/>
                    <w:rPr>
                      <w:b/>
                      <w:color w:val="auto"/>
                      <w:kern w:val="0"/>
                      <w:szCs w:val="21"/>
                    </w:rPr>
                  </w:pPr>
                  <w:r>
                    <w:rPr>
                      <w:b/>
                      <w:color w:val="auto"/>
                      <w:kern w:val="0"/>
                      <w:szCs w:val="21"/>
                    </w:rPr>
                    <w:fldChar w:fldCharType="begin"/>
                  </w:r>
                  <w:r>
                    <w:rPr>
                      <w:b/>
                      <w:color w:val="auto"/>
                      <w:kern w:val="0"/>
                      <w:szCs w:val="21"/>
                    </w:rPr>
                    <w:instrText xml:space="preserve"> REF 沉积物2 \h \* MERGEFORMAT</w:instrText>
                  </w:r>
                  <w:r>
                    <w:rPr>
                      <w:b/>
                      <w:color w:val="auto"/>
                      <w:kern w:val="0"/>
                      <w:szCs w:val="21"/>
                    </w:rPr>
                    <w:fldChar w:fldCharType="separate"/>
                  </w:r>
                  <w:r>
                    <w:rPr>
                      <w:b/>
                      <w:color w:val="auto"/>
                      <w:kern w:val="0"/>
                      <w:szCs w:val="21"/>
                    </w:rPr>
                    <w:t>2# 广坪河清淤区Ⅰ</w:t>
                  </w:r>
                  <w:r>
                    <w:rPr>
                      <w:b/>
                      <w:color w:val="auto"/>
                      <w:kern w:val="0"/>
                      <w:szCs w:val="21"/>
                    </w:rPr>
                    <w:fldChar w:fldCharType="end"/>
                  </w:r>
                </w:p>
              </w:tc>
              <w:tc>
                <w:tcPr>
                  <w:tcW w:w="1473" w:type="pct"/>
                  <w:gridSpan w:val="2"/>
                  <w:vMerge w:val="continue"/>
                  <w:vAlign w:val="center"/>
                </w:tcPr>
                <w:p>
                  <w:pPr>
                    <w:widowControl/>
                    <w:jc w:val="center"/>
                    <w:textAlignment w:val="center"/>
                    <w:rPr>
                      <w:bCs/>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restart"/>
                  <w:vAlign w:val="center"/>
                </w:tcPr>
                <w:p>
                  <w:pPr>
                    <w:widowControl/>
                    <w:jc w:val="center"/>
                    <w:textAlignment w:val="center"/>
                    <w:rPr>
                      <w:color w:val="auto"/>
                    </w:rPr>
                  </w:pPr>
                  <w:r>
                    <w:rPr>
                      <w:color w:val="auto"/>
                    </w:rPr>
                    <w:t>6月6日</w:t>
                  </w:r>
                </w:p>
              </w:tc>
              <w:tc>
                <w:tcPr>
                  <w:tcW w:w="628" w:type="pct"/>
                  <w:vAlign w:val="center"/>
                </w:tcPr>
                <w:p>
                  <w:pPr>
                    <w:tabs>
                      <w:tab w:val="left" w:pos="1890"/>
                    </w:tabs>
                    <w:jc w:val="center"/>
                    <w:rPr>
                      <w:bCs/>
                      <w:color w:val="auto"/>
                      <w:szCs w:val="21"/>
                    </w:rPr>
                  </w:pPr>
                  <w:r>
                    <w:rPr>
                      <w:bCs/>
                      <w:color w:val="auto"/>
                      <w:szCs w:val="21"/>
                    </w:rPr>
                    <w:t>pH</w:t>
                  </w:r>
                </w:p>
              </w:tc>
              <w:tc>
                <w:tcPr>
                  <w:tcW w:w="440" w:type="pct"/>
                  <w:vAlign w:val="center"/>
                </w:tcPr>
                <w:p>
                  <w:pPr>
                    <w:widowControl/>
                    <w:adjustRightInd w:val="0"/>
                    <w:jc w:val="center"/>
                    <w:rPr>
                      <w:bCs/>
                      <w:color w:val="auto"/>
                      <w:szCs w:val="21"/>
                      <w:lang w:bidi="ar"/>
                    </w:rPr>
                  </w:pPr>
                  <w:r>
                    <w:rPr>
                      <w:bCs/>
                      <w:color w:val="auto"/>
                      <w:szCs w:val="21"/>
                      <w:lang w:bidi="ar"/>
                    </w:rPr>
                    <w:t>无量纲</w:t>
                  </w:r>
                </w:p>
              </w:tc>
              <w:tc>
                <w:tcPr>
                  <w:tcW w:w="946" w:type="pct"/>
                  <w:vAlign w:val="center"/>
                </w:tcPr>
                <w:p>
                  <w:pPr>
                    <w:widowControl/>
                    <w:jc w:val="center"/>
                    <w:textAlignment w:val="center"/>
                    <w:rPr>
                      <w:bCs/>
                      <w:color w:val="auto"/>
                      <w:szCs w:val="21"/>
                      <w:lang w:bidi="ar"/>
                    </w:rPr>
                  </w:pPr>
                  <w:r>
                    <w:rPr>
                      <w:bCs/>
                      <w:color w:val="auto"/>
                      <w:szCs w:val="21"/>
                      <w:lang w:bidi="ar"/>
                    </w:rPr>
                    <w:t>7.8</w:t>
                  </w:r>
                </w:p>
              </w:tc>
              <w:tc>
                <w:tcPr>
                  <w:tcW w:w="947" w:type="pct"/>
                  <w:vAlign w:val="center"/>
                </w:tcPr>
                <w:p>
                  <w:pPr>
                    <w:widowControl/>
                    <w:jc w:val="center"/>
                    <w:textAlignment w:val="center"/>
                    <w:rPr>
                      <w:bCs/>
                      <w:color w:val="auto"/>
                      <w:szCs w:val="21"/>
                      <w:lang w:bidi="ar"/>
                    </w:rPr>
                  </w:pPr>
                  <w:r>
                    <w:rPr>
                      <w:bCs/>
                      <w:color w:val="auto"/>
                      <w:szCs w:val="21"/>
                      <w:lang w:bidi="ar"/>
                    </w:rPr>
                    <w:t>7.5</w:t>
                  </w:r>
                </w:p>
              </w:tc>
              <w:tc>
                <w:tcPr>
                  <w:tcW w:w="736" w:type="pct"/>
                  <w:vAlign w:val="center"/>
                </w:tcPr>
                <w:p>
                  <w:pPr>
                    <w:widowControl/>
                    <w:jc w:val="center"/>
                    <w:textAlignment w:val="center"/>
                    <w:rPr>
                      <w:bCs/>
                      <w:color w:val="auto"/>
                      <w:szCs w:val="21"/>
                      <w:lang w:bidi="ar"/>
                    </w:rPr>
                  </w:pPr>
                  <w:r>
                    <w:rPr>
                      <w:bCs/>
                      <w:color w:val="auto"/>
                      <w:szCs w:val="21"/>
                      <w:lang w:bidi="ar"/>
                    </w:rPr>
                    <w:t>6.5&lt;pH ≤ 7.5</w:t>
                  </w:r>
                </w:p>
              </w:tc>
              <w:tc>
                <w:tcPr>
                  <w:tcW w:w="736" w:type="pct"/>
                  <w:vAlign w:val="center"/>
                </w:tcPr>
                <w:p>
                  <w:pPr>
                    <w:widowControl/>
                    <w:jc w:val="center"/>
                    <w:textAlignment w:val="center"/>
                    <w:rPr>
                      <w:bCs/>
                      <w:color w:val="auto"/>
                      <w:szCs w:val="21"/>
                      <w:lang w:bidi="ar"/>
                    </w:rPr>
                  </w:pPr>
                  <w:r>
                    <w:rPr>
                      <w:rFonts w:eastAsia="等线"/>
                      <w:color w:val="auto"/>
                    </w:rPr>
                    <w:t>pH&gt;7.5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szCs w:val="21"/>
                    </w:rPr>
                  </w:pPr>
                </w:p>
              </w:tc>
              <w:tc>
                <w:tcPr>
                  <w:tcW w:w="628" w:type="pct"/>
                  <w:vAlign w:val="center"/>
                </w:tcPr>
                <w:p>
                  <w:pPr>
                    <w:tabs>
                      <w:tab w:val="left" w:pos="1890"/>
                    </w:tabs>
                    <w:jc w:val="center"/>
                    <w:rPr>
                      <w:bCs/>
                      <w:color w:val="auto"/>
                      <w:szCs w:val="21"/>
                    </w:rPr>
                  </w:pPr>
                  <w:r>
                    <w:rPr>
                      <w:bCs/>
                      <w:color w:val="auto"/>
                      <w:szCs w:val="21"/>
                    </w:rPr>
                    <w:t>铅</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widowControl/>
                    <w:jc w:val="center"/>
                    <w:textAlignment w:val="center"/>
                    <w:rPr>
                      <w:bCs/>
                      <w:color w:val="auto"/>
                      <w:szCs w:val="21"/>
                      <w:lang w:bidi="ar"/>
                    </w:rPr>
                  </w:pPr>
                  <w:r>
                    <w:rPr>
                      <w:bCs/>
                      <w:color w:val="auto"/>
                      <w:szCs w:val="21"/>
                      <w:lang w:bidi="ar"/>
                    </w:rPr>
                    <w:t>15.3</w:t>
                  </w:r>
                </w:p>
              </w:tc>
              <w:tc>
                <w:tcPr>
                  <w:tcW w:w="947" w:type="pct"/>
                  <w:vAlign w:val="center"/>
                </w:tcPr>
                <w:p>
                  <w:pPr>
                    <w:widowControl/>
                    <w:jc w:val="center"/>
                    <w:textAlignment w:val="center"/>
                    <w:rPr>
                      <w:bCs/>
                      <w:color w:val="auto"/>
                      <w:szCs w:val="21"/>
                      <w:lang w:bidi="ar"/>
                    </w:rPr>
                  </w:pPr>
                  <w:r>
                    <w:rPr>
                      <w:bCs/>
                      <w:color w:val="auto"/>
                      <w:szCs w:val="21"/>
                      <w:lang w:bidi="ar"/>
                    </w:rPr>
                    <w:t>21.6</w:t>
                  </w:r>
                </w:p>
              </w:tc>
              <w:tc>
                <w:tcPr>
                  <w:tcW w:w="736" w:type="pct"/>
                  <w:vAlign w:val="center"/>
                </w:tcPr>
                <w:p>
                  <w:pPr>
                    <w:widowControl/>
                    <w:jc w:val="center"/>
                    <w:textAlignment w:val="center"/>
                    <w:rPr>
                      <w:bCs/>
                      <w:color w:val="auto"/>
                      <w:szCs w:val="21"/>
                      <w:lang w:bidi="ar"/>
                    </w:rPr>
                  </w:pPr>
                  <w:r>
                    <w:rPr>
                      <w:bCs/>
                      <w:color w:val="auto"/>
                      <w:szCs w:val="21"/>
                      <w:lang w:bidi="ar"/>
                    </w:rPr>
                    <w:t>120</w:t>
                  </w:r>
                </w:p>
              </w:tc>
              <w:tc>
                <w:tcPr>
                  <w:tcW w:w="736" w:type="pct"/>
                  <w:vAlign w:val="center"/>
                </w:tcPr>
                <w:p>
                  <w:pPr>
                    <w:widowControl/>
                    <w:jc w:val="center"/>
                    <w:textAlignment w:val="center"/>
                    <w:rPr>
                      <w:bCs/>
                      <w:color w:val="auto"/>
                      <w:szCs w:val="21"/>
                      <w:lang w:bidi="ar"/>
                    </w:rPr>
                  </w:pPr>
                  <w:r>
                    <w:rPr>
                      <w:bCs/>
                      <w:color w:val="auto"/>
                      <w:szCs w:val="21"/>
                      <w:lang w:bidi="ar"/>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szCs w:val="21"/>
                    </w:rPr>
                  </w:pPr>
                </w:p>
              </w:tc>
              <w:tc>
                <w:tcPr>
                  <w:tcW w:w="628" w:type="pct"/>
                  <w:vAlign w:val="center"/>
                </w:tcPr>
                <w:p>
                  <w:pPr>
                    <w:tabs>
                      <w:tab w:val="left" w:pos="1890"/>
                    </w:tabs>
                    <w:jc w:val="center"/>
                    <w:rPr>
                      <w:bCs/>
                      <w:color w:val="auto"/>
                      <w:szCs w:val="21"/>
                    </w:rPr>
                  </w:pPr>
                  <w:r>
                    <w:rPr>
                      <w:bCs/>
                      <w:color w:val="auto"/>
                      <w:szCs w:val="21"/>
                    </w:rPr>
                    <w:t>镉</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widowControl/>
                    <w:jc w:val="center"/>
                    <w:textAlignment w:val="center"/>
                    <w:rPr>
                      <w:color w:val="auto"/>
                      <w:szCs w:val="21"/>
                    </w:rPr>
                  </w:pPr>
                  <w:r>
                    <w:rPr>
                      <w:color w:val="auto"/>
                      <w:szCs w:val="21"/>
                    </w:rPr>
                    <w:t>0.20</w:t>
                  </w:r>
                </w:p>
              </w:tc>
              <w:tc>
                <w:tcPr>
                  <w:tcW w:w="947" w:type="pct"/>
                  <w:vAlign w:val="center"/>
                </w:tcPr>
                <w:p>
                  <w:pPr>
                    <w:widowControl/>
                    <w:jc w:val="center"/>
                    <w:textAlignment w:val="center"/>
                    <w:rPr>
                      <w:color w:val="auto"/>
                      <w:szCs w:val="21"/>
                    </w:rPr>
                  </w:pPr>
                  <w:r>
                    <w:rPr>
                      <w:color w:val="auto"/>
                      <w:szCs w:val="21"/>
                    </w:rPr>
                    <w:t>0.23</w:t>
                  </w:r>
                </w:p>
              </w:tc>
              <w:tc>
                <w:tcPr>
                  <w:tcW w:w="736" w:type="pct"/>
                  <w:vAlign w:val="center"/>
                </w:tcPr>
                <w:p>
                  <w:pPr>
                    <w:widowControl/>
                    <w:jc w:val="center"/>
                    <w:textAlignment w:val="center"/>
                    <w:rPr>
                      <w:color w:val="auto"/>
                      <w:szCs w:val="21"/>
                    </w:rPr>
                  </w:pPr>
                  <w:r>
                    <w:rPr>
                      <w:color w:val="auto"/>
                      <w:szCs w:val="21"/>
                    </w:rPr>
                    <w:t>0.3</w:t>
                  </w:r>
                </w:p>
              </w:tc>
              <w:tc>
                <w:tcPr>
                  <w:tcW w:w="736" w:type="pct"/>
                  <w:vAlign w:val="center"/>
                </w:tcPr>
                <w:p>
                  <w:pPr>
                    <w:widowControl/>
                    <w:jc w:val="center"/>
                    <w:textAlignment w:val="center"/>
                    <w:rPr>
                      <w:color w:val="auto"/>
                      <w:szCs w:val="21"/>
                    </w:rPr>
                  </w:pPr>
                  <w:r>
                    <w:rPr>
                      <w:color w:val="auto"/>
                      <w:szCs w:val="21"/>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szCs w:val="21"/>
                    </w:rPr>
                  </w:pPr>
                </w:p>
              </w:tc>
              <w:tc>
                <w:tcPr>
                  <w:tcW w:w="628" w:type="pct"/>
                  <w:vAlign w:val="center"/>
                </w:tcPr>
                <w:p>
                  <w:pPr>
                    <w:tabs>
                      <w:tab w:val="left" w:pos="1890"/>
                    </w:tabs>
                    <w:jc w:val="center"/>
                    <w:rPr>
                      <w:bCs/>
                      <w:color w:val="auto"/>
                      <w:szCs w:val="21"/>
                    </w:rPr>
                  </w:pPr>
                  <w:r>
                    <w:rPr>
                      <w:bCs/>
                      <w:color w:val="auto"/>
                      <w:szCs w:val="21"/>
                    </w:rPr>
                    <w:t>铜</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jc w:val="center"/>
                    <w:rPr>
                      <w:color w:val="auto"/>
                      <w:szCs w:val="21"/>
                    </w:rPr>
                  </w:pPr>
                  <w:r>
                    <w:rPr>
                      <w:color w:val="auto"/>
                      <w:szCs w:val="21"/>
                    </w:rPr>
                    <w:t>21</w:t>
                  </w:r>
                </w:p>
              </w:tc>
              <w:tc>
                <w:tcPr>
                  <w:tcW w:w="947" w:type="pct"/>
                  <w:vAlign w:val="center"/>
                </w:tcPr>
                <w:p>
                  <w:pPr>
                    <w:jc w:val="center"/>
                    <w:rPr>
                      <w:color w:val="auto"/>
                      <w:szCs w:val="21"/>
                    </w:rPr>
                  </w:pPr>
                  <w:r>
                    <w:rPr>
                      <w:color w:val="auto"/>
                      <w:szCs w:val="21"/>
                    </w:rPr>
                    <w:t>35</w:t>
                  </w:r>
                </w:p>
              </w:tc>
              <w:tc>
                <w:tcPr>
                  <w:tcW w:w="736" w:type="pct"/>
                  <w:vAlign w:val="center"/>
                </w:tcPr>
                <w:p>
                  <w:pPr>
                    <w:jc w:val="center"/>
                    <w:rPr>
                      <w:color w:val="auto"/>
                      <w:szCs w:val="21"/>
                    </w:rPr>
                  </w:pPr>
                  <w:r>
                    <w:rPr>
                      <w:color w:val="auto"/>
                      <w:szCs w:val="21"/>
                    </w:rPr>
                    <w:t>100</w:t>
                  </w:r>
                </w:p>
              </w:tc>
              <w:tc>
                <w:tcPr>
                  <w:tcW w:w="736" w:type="pct"/>
                  <w:vAlign w:val="center"/>
                </w:tcPr>
                <w:p>
                  <w:pPr>
                    <w:jc w:val="center"/>
                    <w:rPr>
                      <w:color w:val="auto"/>
                      <w:szCs w:val="21"/>
                    </w:rPr>
                  </w:pPr>
                  <w:r>
                    <w:rPr>
                      <w:color w:val="auto"/>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rPr>
                  </w:pPr>
                </w:p>
              </w:tc>
              <w:tc>
                <w:tcPr>
                  <w:tcW w:w="628" w:type="pct"/>
                  <w:vAlign w:val="center"/>
                </w:tcPr>
                <w:p>
                  <w:pPr>
                    <w:tabs>
                      <w:tab w:val="left" w:pos="1890"/>
                    </w:tabs>
                    <w:jc w:val="center"/>
                    <w:rPr>
                      <w:bCs/>
                      <w:color w:val="auto"/>
                      <w:szCs w:val="21"/>
                    </w:rPr>
                  </w:pPr>
                  <w:r>
                    <w:rPr>
                      <w:bCs/>
                      <w:color w:val="auto"/>
                      <w:szCs w:val="21"/>
                    </w:rPr>
                    <w:t>锌</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tabs>
                      <w:tab w:val="left" w:pos="1890"/>
                    </w:tabs>
                    <w:jc w:val="center"/>
                    <w:rPr>
                      <w:bCs/>
                      <w:color w:val="auto"/>
                      <w:szCs w:val="21"/>
                    </w:rPr>
                  </w:pPr>
                  <w:r>
                    <w:rPr>
                      <w:bCs/>
                      <w:color w:val="auto"/>
                      <w:szCs w:val="21"/>
                    </w:rPr>
                    <w:t>46</w:t>
                  </w:r>
                </w:p>
              </w:tc>
              <w:tc>
                <w:tcPr>
                  <w:tcW w:w="947" w:type="pct"/>
                  <w:vAlign w:val="center"/>
                </w:tcPr>
                <w:p>
                  <w:pPr>
                    <w:tabs>
                      <w:tab w:val="left" w:pos="1890"/>
                    </w:tabs>
                    <w:jc w:val="center"/>
                    <w:rPr>
                      <w:bCs/>
                      <w:color w:val="auto"/>
                      <w:szCs w:val="21"/>
                    </w:rPr>
                  </w:pPr>
                  <w:r>
                    <w:rPr>
                      <w:bCs/>
                      <w:color w:val="auto"/>
                      <w:szCs w:val="21"/>
                    </w:rPr>
                    <w:t>48</w:t>
                  </w:r>
                </w:p>
              </w:tc>
              <w:tc>
                <w:tcPr>
                  <w:tcW w:w="736" w:type="pct"/>
                  <w:vAlign w:val="center"/>
                </w:tcPr>
                <w:p>
                  <w:pPr>
                    <w:tabs>
                      <w:tab w:val="left" w:pos="1890"/>
                    </w:tabs>
                    <w:jc w:val="center"/>
                    <w:rPr>
                      <w:bCs/>
                      <w:color w:val="auto"/>
                      <w:szCs w:val="21"/>
                    </w:rPr>
                  </w:pPr>
                  <w:r>
                    <w:rPr>
                      <w:bCs/>
                      <w:color w:val="auto"/>
                      <w:szCs w:val="21"/>
                    </w:rPr>
                    <w:t>250</w:t>
                  </w:r>
                </w:p>
              </w:tc>
              <w:tc>
                <w:tcPr>
                  <w:tcW w:w="736" w:type="pct"/>
                  <w:vAlign w:val="center"/>
                </w:tcPr>
                <w:p>
                  <w:pPr>
                    <w:tabs>
                      <w:tab w:val="left" w:pos="1890"/>
                    </w:tabs>
                    <w:jc w:val="center"/>
                    <w:rPr>
                      <w:bCs/>
                      <w:color w:val="auto"/>
                      <w:szCs w:val="21"/>
                    </w:rPr>
                  </w:pPr>
                  <w:r>
                    <w:rPr>
                      <w:bCs/>
                      <w:color w:val="auto"/>
                      <w:szCs w:val="21"/>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rPr>
                  </w:pPr>
                </w:p>
              </w:tc>
              <w:tc>
                <w:tcPr>
                  <w:tcW w:w="628" w:type="pct"/>
                  <w:vAlign w:val="center"/>
                </w:tcPr>
                <w:p>
                  <w:pPr>
                    <w:tabs>
                      <w:tab w:val="left" w:pos="1890"/>
                    </w:tabs>
                    <w:jc w:val="center"/>
                    <w:rPr>
                      <w:bCs/>
                      <w:color w:val="auto"/>
                      <w:szCs w:val="21"/>
                    </w:rPr>
                  </w:pPr>
                  <w:r>
                    <w:rPr>
                      <w:bCs/>
                      <w:color w:val="auto"/>
                      <w:szCs w:val="21"/>
                    </w:rPr>
                    <w:t>铬</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tabs>
                      <w:tab w:val="left" w:pos="1890"/>
                    </w:tabs>
                    <w:jc w:val="center"/>
                    <w:rPr>
                      <w:bCs/>
                      <w:color w:val="auto"/>
                      <w:szCs w:val="21"/>
                    </w:rPr>
                  </w:pPr>
                  <w:r>
                    <w:rPr>
                      <w:bCs/>
                      <w:color w:val="auto"/>
                      <w:szCs w:val="21"/>
                    </w:rPr>
                    <w:t>70</w:t>
                  </w:r>
                </w:p>
              </w:tc>
              <w:tc>
                <w:tcPr>
                  <w:tcW w:w="947" w:type="pct"/>
                  <w:vAlign w:val="center"/>
                </w:tcPr>
                <w:p>
                  <w:pPr>
                    <w:tabs>
                      <w:tab w:val="left" w:pos="1890"/>
                    </w:tabs>
                    <w:jc w:val="center"/>
                    <w:rPr>
                      <w:bCs/>
                      <w:color w:val="auto"/>
                      <w:szCs w:val="21"/>
                    </w:rPr>
                  </w:pPr>
                  <w:r>
                    <w:rPr>
                      <w:bCs/>
                      <w:color w:val="auto"/>
                      <w:szCs w:val="21"/>
                    </w:rPr>
                    <w:t>65</w:t>
                  </w:r>
                </w:p>
              </w:tc>
              <w:tc>
                <w:tcPr>
                  <w:tcW w:w="736" w:type="pct"/>
                  <w:vAlign w:val="center"/>
                </w:tcPr>
                <w:p>
                  <w:pPr>
                    <w:tabs>
                      <w:tab w:val="left" w:pos="1890"/>
                    </w:tabs>
                    <w:jc w:val="center"/>
                    <w:rPr>
                      <w:bCs/>
                      <w:color w:val="auto"/>
                      <w:szCs w:val="21"/>
                    </w:rPr>
                  </w:pPr>
                  <w:r>
                    <w:rPr>
                      <w:bCs/>
                      <w:color w:val="auto"/>
                      <w:szCs w:val="21"/>
                    </w:rPr>
                    <w:t>200</w:t>
                  </w:r>
                </w:p>
              </w:tc>
              <w:tc>
                <w:tcPr>
                  <w:tcW w:w="736" w:type="pct"/>
                  <w:vAlign w:val="center"/>
                </w:tcPr>
                <w:p>
                  <w:pPr>
                    <w:tabs>
                      <w:tab w:val="left" w:pos="1890"/>
                    </w:tabs>
                    <w:jc w:val="center"/>
                    <w:rPr>
                      <w:bCs/>
                      <w:color w:val="auto"/>
                      <w:szCs w:val="21"/>
                    </w:rPr>
                  </w:pPr>
                  <w:r>
                    <w:rPr>
                      <w:bCs/>
                      <w:color w:val="auto"/>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szCs w:val="21"/>
                    </w:rPr>
                  </w:pPr>
                </w:p>
              </w:tc>
              <w:tc>
                <w:tcPr>
                  <w:tcW w:w="628" w:type="pct"/>
                  <w:vAlign w:val="center"/>
                </w:tcPr>
                <w:p>
                  <w:pPr>
                    <w:tabs>
                      <w:tab w:val="left" w:pos="1890"/>
                    </w:tabs>
                    <w:jc w:val="center"/>
                    <w:rPr>
                      <w:bCs/>
                      <w:color w:val="auto"/>
                      <w:szCs w:val="21"/>
                    </w:rPr>
                  </w:pPr>
                  <w:r>
                    <w:rPr>
                      <w:bCs/>
                      <w:color w:val="auto"/>
                      <w:szCs w:val="21"/>
                    </w:rPr>
                    <w:br w:type="page"/>
                  </w:r>
                  <w:r>
                    <w:rPr>
                      <w:bCs/>
                      <w:color w:val="auto"/>
                      <w:szCs w:val="21"/>
                    </w:rPr>
                    <w:t>六价铬</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tabs>
                      <w:tab w:val="left" w:pos="1890"/>
                    </w:tabs>
                    <w:jc w:val="center"/>
                    <w:rPr>
                      <w:bCs/>
                      <w:color w:val="auto"/>
                      <w:szCs w:val="21"/>
                    </w:rPr>
                  </w:pPr>
                  <w:r>
                    <w:rPr>
                      <w:bCs/>
                      <w:color w:val="auto"/>
                      <w:szCs w:val="21"/>
                    </w:rPr>
                    <w:t>未检出</w:t>
                  </w:r>
                </w:p>
              </w:tc>
              <w:tc>
                <w:tcPr>
                  <w:tcW w:w="947" w:type="pct"/>
                  <w:vAlign w:val="center"/>
                </w:tcPr>
                <w:p>
                  <w:pPr>
                    <w:tabs>
                      <w:tab w:val="left" w:pos="1890"/>
                    </w:tabs>
                    <w:jc w:val="center"/>
                    <w:rPr>
                      <w:bCs/>
                      <w:color w:val="auto"/>
                      <w:szCs w:val="21"/>
                    </w:rPr>
                  </w:pPr>
                  <w:r>
                    <w:rPr>
                      <w:bCs/>
                      <w:color w:val="auto"/>
                      <w:szCs w:val="21"/>
                    </w:rPr>
                    <w:t>未检出</w:t>
                  </w:r>
                </w:p>
              </w:tc>
              <w:tc>
                <w:tcPr>
                  <w:tcW w:w="736" w:type="pct"/>
                  <w:vAlign w:val="center"/>
                </w:tcPr>
                <w:p>
                  <w:pPr>
                    <w:tabs>
                      <w:tab w:val="left" w:pos="1890"/>
                    </w:tabs>
                    <w:jc w:val="center"/>
                    <w:rPr>
                      <w:bCs/>
                      <w:color w:val="auto"/>
                      <w:szCs w:val="21"/>
                    </w:rPr>
                  </w:pPr>
                  <w:r>
                    <w:rPr>
                      <w:bCs/>
                      <w:color w:val="auto"/>
                      <w:szCs w:val="21"/>
                    </w:rPr>
                    <w:t>/</w:t>
                  </w:r>
                </w:p>
              </w:tc>
              <w:tc>
                <w:tcPr>
                  <w:tcW w:w="736" w:type="pct"/>
                  <w:vAlign w:val="center"/>
                </w:tcPr>
                <w:p>
                  <w:pPr>
                    <w:tabs>
                      <w:tab w:val="left" w:pos="1890"/>
                    </w:tabs>
                    <w:jc w:val="center"/>
                    <w:rPr>
                      <w:bCs/>
                      <w:color w:val="auto"/>
                      <w:szCs w:val="21"/>
                    </w:rPr>
                  </w:pPr>
                  <w:r>
                    <w:rPr>
                      <w:bCs/>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szCs w:val="21"/>
                    </w:rPr>
                  </w:pPr>
                </w:p>
              </w:tc>
              <w:tc>
                <w:tcPr>
                  <w:tcW w:w="628" w:type="pct"/>
                  <w:vAlign w:val="center"/>
                </w:tcPr>
                <w:p>
                  <w:pPr>
                    <w:tabs>
                      <w:tab w:val="left" w:pos="1890"/>
                    </w:tabs>
                    <w:jc w:val="center"/>
                    <w:rPr>
                      <w:bCs/>
                      <w:color w:val="auto"/>
                      <w:szCs w:val="21"/>
                    </w:rPr>
                  </w:pPr>
                  <w:r>
                    <w:rPr>
                      <w:bCs/>
                      <w:color w:val="auto"/>
                      <w:szCs w:val="21"/>
                    </w:rPr>
                    <w:t>汞</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tabs>
                      <w:tab w:val="left" w:pos="1890"/>
                    </w:tabs>
                    <w:jc w:val="center"/>
                    <w:rPr>
                      <w:bCs/>
                      <w:color w:val="auto"/>
                      <w:szCs w:val="21"/>
                    </w:rPr>
                  </w:pPr>
                  <w:r>
                    <w:rPr>
                      <w:bCs/>
                      <w:color w:val="auto"/>
                      <w:szCs w:val="21"/>
                    </w:rPr>
                    <w:t>0.464</w:t>
                  </w:r>
                </w:p>
              </w:tc>
              <w:tc>
                <w:tcPr>
                  <w:tcW w:w="947" w:type="pct"/>
                  <w:vAlign w:val="center"/>
                </w:tcPr>
                <w:p>
                  <w:pPr>
                    <w:tabs>
                      <w:tab w:val="left" w:pos="1890"/>
                    </w:tabs>
                    <w:jc w:val="center"/>
                    <w:rPr>
                      <w:bCs/>
                      <w:color w:val="auto"/>
                      <w:szCs w:val="21"/>
                    </w:rPr>
                  </w:pPr>
                  <w:r>
                    <w:rPr>
                      <w:bCs/>
                      <w:color w:val="auto"/>
                      <w:szCs w:val="21"/>
                    </w:rPr>
                    <w:t>0.497</w:t>
                  </w:r>
                </w:p>
              </w:tc>
              <w:tc>
                <w:tcPr>
                  <w:tcW w:w="736" w:type="pct"/>
                  <w:vAlign w:val="center"/>
                </w:tcPr>
                <w:p>
                  <w:pPr>
                    <w:tabs>
                      <w:tab w:val="left" w:pos="1890"/>
                    </w:tabs>
                    <w:jc w:val="center"/>
                    <w:rPr>
                      <w:bCs/>
                      <w:color w:val="auto"/>
                      <w:szCs w:val="21"/>
                    </w:rPr>
                  </w:pPr>
                  <w:r>
                    <w:rPr>
                      <w:bCs/>
                      <w:color w:val="auto"/>
                      <w:szCs w:val="21"/>
                    </w:rPr>
                    <w:t>2.4</w:t>
                  </w:r>
                </w:p>
              </w:tc>
              <w:tc>
                <w:tcPr>
                  <w:tcW w:w="736" w:type="pct"/>
                  <w:vAlign w:val="center"/>
                </w:tcPr>
                <w:p>
                  <w:pPr>
                    <w:tabs>
                      <w:tab w:val="left" w:pos="1890"/>
                    </w:tabs>
                    <w:jc w:val="center"/>
                    <w:rPr>
                      <w:bCs/>
                      <w:color w:val="auto"/>
                      <w:szCs w:val="21"/>
                    </w:rPr>
                  </w:pPr>
                  <w:r>
                    <w:rPr>
                      <w:bCs/>
                      <w:color w:val="auto"/>
                      <w:szCs w:val="21"/>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31" w:hRule="atLeast"/>
                <w:jc w:val="center"/>
              </w:trPr>
              <w:tc>
                <w:tcPr>
                  <w:tcW w:w="564" w:type="pct"/>
                  <w:vMerge w:val="continue"/>
                  <w:vAlign w:val="center"/>
                </w:tcPr>
                <w:p>
                  <w:pPr>
                    <w:widowControl/>
                    <w:jc w:val="center"/>
                    <w:textAlignment w:val="center"/>
                    <w:rPr>
                      <w:color w:val="auto"/>
                      <w:szCs w:val="21"/>
                    </w:rPr>
                  </w:pPr>
                </w:p>
              </w:tc>
              <w:tc>
                <w:tcPr>
                  <w:tcW w:w="628" w:type="pct"/>
                  <w:vAlign w:val="center"/>
                </w:tcPr>
                <w:p>
                  <w:pPr>
                    <w:tabs>
                      <w:tab w:val="left" w:pos="1890"/>
                    </w:tabs>
                    <w:jc w:val="center"/>
                    <w:rPr>
                      <w:bCs/>
                      <w:color w:val="auto"/>
                      <w:szCs w:val="21"/>
                    </w:rPr>
                  </w:pPr>
                  <w:r>
                    <w:rPr>
                      <w:bCs/>
                      <w:color w:val="auto"/>
                      <w:szCs w:val="21"/>
                    </w:rPr>
                    <w:t>砷</w:t>
                  </w:r>
                </w:p>
              </w:tc>
              <w:tc>
                <w:tcPr>
                  <w:tcW w:w="440" w:type="pct"/>
                  <w:vAlign w:val="center"/>
                </w:tcPr>
                <w:p>
                  <w:pPr>
                    <w:widowControl/>
                    <w:adjustRightInd w:val="0"/>
                    <w:jc w:val="center"/>
                    <w:rPr>
                      <w:bCs/>
                      <w:color w:val="auto"/>
                      <w:szCs w:val="21"/>
                    </w:rPr>
                  </w:pPr>
                  <w:r>
                    <w:rPr>
                      <w:bCs/>
                      <w:color w:val="auto"/>
                      <w:szCs w:val="21"/>
                      <w:lang w:bidi="ar"/>
                    </w:rPr>
                    <w:t>mg/kg</w:t>
                  </w:r>
                </w:p>
              </w:tc>
              <w:tc>
                <w:tcPr>
                  <w:tcW w:w="946" w:type="pct"/>
                  <w:vAlign w:val="center"/>
                </w:tcPr>
                <w:p>
                  <w:pPr>
                    <w:widowControl/>
                    <w:jc w:val="center"/>
                    <w:textAlignment w:val="center"/>
                    <w:rPr>
                      <w:color w:val="auto"/>
                      <w:szCs w:val="21"/>
                    </w:rPr>
                  </w:pPr>
                  <w:r>
                    <w:rPr>
                      <w:color w:val="auto"/>
                      <w:szCs w:val="21"/>
                    </w:rPr>
                    <w:t>9.42</w:t>
                  </w:r>
                </w:p>
              </w:tc>
              <w:tc>
                <w:tcPr>
                  <w:tcW w:w="947" w:type="pct"/>
                  <w:vAlign w:val="center"/>
                </w:tcPr>
                <w:p>
                  <w:pPr>
                    <w:widowControl/>
                    <w:jc w:val="center"/>
                    <w:textAlignment w:val="center"/>
                    <w:rPr>
                      <w:color w:val="auto"/>
                      <w:szCs w:val="21"/>
                    </w:rPr>
                  </w:pPr>
                  <w:r>
                    <w:rPr>
                      <w:color w:val="auto"/>
                      <w:szCs w:val="21"/>
                    </w:rPr>
                    <w:t>9.99</w:t>
                  </w:r>
                </w:p>
              </w:tc>
              <w:tc>
                <w:tcPr>
                  <w:tcW w:w="736" w:type="pct"/>
                  <w:vAlign w:val="center"/>
                </w:tcPr>
                <w:p>
                  <w:pPr>
                    <w:widowControl/>
                    <w:jc w:val="center"/>
                    <w:textAlignment w:val="center"/>
                    <w:rPr>
                      <w:color w:val="auto"/>
                      <w:szCs w:val="21"/>
                    </w:rPr>
                  </w:pPr>
                  <w:r>
                    <w:rPr>
                      <w:color w:val="auto"/>
                      <w:szCs w:val="21"/>
                    </w:rPr>
                    <w:t>30</w:t>
                  </w:r>
                </w:p>
              </w:tc>
              <w:tc>
                <w:tcPr>
                  <w:tcW w:w="736" w:type="pct"/>
                  <w:vAlign w:val="center"/>
                </w:tcPr>
                <w:p>
                  <w:pPr>
                    <w:widowControl/>
                    <w:jc w:val="center"/>
                    <w:textAlignment w:val="center"/>
                    <w:rPr>
                      <w:color w:val="auto"/>
                      <w:szCs w:val="21"/>
                    </w:rPr>
                  </w:pPr>
                  <w:r>
                    <w:rPr>
                      <w:color w:val="auto"/>
                      <w:szCs w:val="21"/>
                    </w:rPr>
                    <w:t>25</w:t>
                  </w:r>
                </w:p>
              </w:tc>
            </w:tr>
          </w:tbl>
          <w:p>
            <w:pPr>
              <w:adjustRightInd w:val="0"/>
              <w:snapToGrid w:val="0"/>
              <w:spacing w:line="360" w:lineRule="auto"/>
              <w:ind w:firstLine="480" w:firstLineChars="200"/>
              <w:jc w:val="left"/>
              <w:rPr>
                <w:color w:val="auto"/>
                <w:sz w:val="24"/>
              </w:rPr>
            </w:pPr>
            <w:r>
              <w:rPr>
                <w:color w:val="auto"/>
                <w:sz w:val="24"/>
              </w:rPr>
              <w:t>由上表可知，本项目疏浚段土壤质量满足参照标准《土壤环境质量 农用地土壤污染风险管控标准》（GB 15618-2018）表1中其他标准限值要求</w:t>
            </w:r>
            <w:r>
              <w:rPr>
                <w:rFonts w:hint="eastAsia"/>
                <w:color w:val="auto"/>
                <w:sz w:val="24"/>
                <w:lang w:eastAsia="zh-CN"/>
              </w:rPr>
              <w:t>，</w:t>
            </w:r>
            <w:r>
              <w:rPr>
                <w:rFonts w:hint="eastAsia"/>
                <w:color w:val="auto"/>
                <w:sz w:val="24"/>
                <w:lang w:val="en-US" w:eastAsia="zh-CN"/>
              </w:rPr>
              <w:t>疏浚段土壤不涉及重金属污染</w:t>
            </w:r>
            <w:r>
              <w:rPr>
                <w:color w:val="auto"/>
                <w:sz w:val="24"/>
              </w:rPr>
              <w:t>。</w:t>
            </w:r>
          </w:p>
          <w:p>
            <w:pPr>
              <w:adjustRightInd w:val="0"/>
              <w:snapToGrid w:val="0"/>
              <w:spacing w:line="360" w:lineRule="auto"/>
              <w:jc w:val="left"/>
              <w:rPr>
                <w:b/>
                <w:bCs/>
                <w:color w:val="auto"/>
                <w:sz w:val="24"/>
              </w:rPr>
            </w:pPr>
            <w:r>
              <w:rPr>
                <w:b/>
                <w:bCs/>
                <w:color w:val="auto"/>
                <w:sz w:val="24"/>
              </w:rPr>
              <w:t>三、声环境质量现状</w:t>
            </w:r>
          </w:p>
          <w:p>
            <w:pPr>
              <w:adjustRightInd w:val="0"/>
              <w:snapToGrid w:val="0"/>
              <w:spacing w:line="360" w:lineRule="auto"/>
              <w:ind w:firstLine="480" w:firstLineChars="200"/>
              <w:jc w:val="left"/>
              <w:rPr>
                <w:color w:val="auto"/>
                <w:sz w:val="24"/>
              </w:rPr>
            </w:pPr>
            <w:r>
              <w:rPr>
                <w:color w:val="auto"/>
                <w:sz w:val="24"/>
              </w:rPr>
              <w:t>根据《建设项目环境影响评价编制技术指南》（生态影响类），本项目堤防工程外侧50m范围内存在敏感目标，参照《建设项目环境影响报告表编制技术指南》（污染影响类）相关规定开展补充监测。</w:t>
            </w:r>
          </w:p>
          <w:p>
            <w:pPr>
              <w:spacing w:line="360" w:lineRule="auto"/>
              <w:ind w:firstLine="482" w:firstLineChars="200"/>
              <w:rPr>
                <w:b/>
                <w:bCs/>
                <w:color w:val="auto"/>
                <w:sz w:val="24"/>
              </w:rPr>
            </w:pPr>
            <w:r>
              <w:rPr>
                <w:b/>
                <w:bCs/>
                <w:color w:val="auto"/>
                <w:sz w:val="24"/>
              </w:rPr>
              <w:t>1、声环境质量现状监测</w:t>
            </w:r>
          </w:p>
          <w:p>
            <w:pPr>
              <w:spacing w:line="360" w:lineRule="auto"/>
              <w:ind w:firstLine="480" w:firstLineChars="200"/>
              <w:rPr>
                <w:color w:val="auto"/>
                <w:sz w:val="24"/>
              </w:rPr>
            </w:pPr>
            <w:r>
              <w:rPr>
                <w:color w:val="auto"/>
                <w:sz w:val="24"/>
              </w:rPr>
              <w:t>2023年6月6日对本项目堤防工程两侧最近敏感点进行声环境质量监测。</w:t>
            </w:r>
          </w:p>
          <w:p>
            <w:pPr>
              <w:spacing w:line="360" w:lineRule="auto"/>
              <w:ind w:firstLine="482" w:firstLineChars="200"/>
              <w:rPr>
                <w:b/>
                <w:bCs/>
                <w:color w:val="auto"/>
                <w:sz w:val="24"/>
              </w:rPr>
            </w:pPr>
            <w:r>
              <w:rPr>
                <w:b/>
                <w:bCs/>
                <w:color w:val="auto"/>
                <w:sz w:val="24"/>
              </w:rPr>
              <w:t>2、声环境质量现状评价</w:t>
            </w:r>
          </w:p>
          <w:p>
            <w:pPr>
              <w:spacing w:line="360" w:lineRule="auto"/>
              <w:ind w:firstLine="480" w:firstLineChars="200"/>
              <w:rPr>
                <w:color w:val="auto"/>
                <w:sz w:val="24"/>
              </w:rPr>
            </w:pPr>
            <w:r>
              <w:rPr>
                <w:color w:val="auto"/>
                <w:sz w:val="24"/>
              </w:rPr>
              <w:t>（1）评价方法</w:t>
            </w:r>
          </w:p>
          <w:p>
            <w:pPr>
              <w:spacing w:line="360" w:lineRule="auto"/>
              <w:ind w:firstLine="480" w:firstLineChars="200"/>
              <w:rPr>
                <w:color w:val="auto"/>
                <w:sz w:val="24"/>
              </w:rPr>
            </w:pPr>
            <w:r>
              <w:rPr>
                <w:color w:val="auto"/>
                <w:sz w:val="24"/>
              </w:rPr>
              <w:t>以等效连续 A声级作为评价量，对照标准值进行分析。</w:t>
            </w:r>
          </w:p>
          <w:p>
            <w:pPr>
              <w:spacing w:line="360" w:lineRule="auto"/>
              <w:ind w:firstLine="480" w:firstLineChars="200"/>
              <w:rPr>
                <w:color w:val="auto"/>
                <w:sz w:val="24"/>
              </w:rPr>
            </w:pPr>
            <w:r>
              <w:rPr>
                <w:color w:val="auto"/>
                <w:sz w:val="24"/>
              </w:rPr>
              <w:t>（2）评价结果</w:t>
            </w:r>
          </w:p>
          <w:p>
            <w:pPr>
              <w:spacing w:line="360" w:lineRule="auto"/>
              <w:ind w:firstLine="480" w:firstLineChars="200"/>
              <w:rPr>
                <w:color w:val="auto"/>
                <w:sz w:val="24"/>
              </w:rPr>
            </w:pPr>
            <w:r>
              <w:rPr>
                <w:color w:val="auto"/>
                <w:sz w:val="24"/>
              </w:rPr>
              <w:t>声环境监测结果及评价见下表。</w:t>
            </w:r>
          </w:p>
          <w:p>
            <w:pPr>
              <w:widowControl/>
              <w:numPr>
                <w:ilvl w:val="0"/>
                <w:numId w:val="8"/>
              </w:numPr>
              <w:adjustRightInd w:val="0"/>
              <w:snapToGrid w:val="0"/>
              <w:jc w:val="center"/>
              <w:rPr>
                <w:b/>
                <w:color w:val="auto"/>
                <w:szCs w:val="18"/>
              </w:rPr>
            </w:pPr>
            <w:r>
              <w:rPr>
                <w:b/>
                <w:color w:val="auto"/>
                <w:szCs w:val="18"/>
              </w:rPr>
              <w:t>噪声监测结果及评价单位：dB（A）</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3006"/>
              <w:gridCol w:w="1035"/>
              <w:gridCol w:w="2132"/>
              <w:gridCol w:w="1227"/>
              <w:gridCol w:w="10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tblHeader/>
                <w:jc w:val="center"/>
              </w:trPr>
              <w:tc>
                <w:tcPr>
                  <w:tcW w:w="1774" w:type="pct"/>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检测点位</w:t>
                  </w:r>
                </w:p>
              </w:tc>
              <w:tc>
                <w:tcPr>
                  <w:tcW w:w="611" w:type="pct"/>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检测日期</w:t>
                  </w:r>
                </w:p>
              </w:tc>
              <w:tc>
                <w:tcPr>
                  <w:tcW w:w="1258" w:type="pct"/>
                  <w:vAlign w:val="center"/>
                </w:tcPr>
                <w:p>
                  <w:pPr>
                    <w:pStyle w:val="31"/>
                    <w:adjustRightInd w:val="0"/>
                    <w:spacing w:before="0" w:beforeAutospacing="0" w:after="0" w:afterAutospacing="0"/>
                    <w:jc w:val="center"/>
                    <w:rPr>
                      <w:rFonts w:ascii="Times New Roman" w:hAnsi="Times New Roman"/>
                      <w:b/>
                      <w:color w:val="auto"/>
                      <w:sz w:val="21"/>
                      <w:szCs w:val="21"/>
                    </w:rPr>
                  </w:pPr>
                  <w:r>
                    <w:rPr>
                      <w:rFonts w:ascii="Times New Roman" w:hAnsi="Times New Roman"/>
                      <w:b/>
                      <w:color w:val="auto"/>
                      <w:sz w:val="21"/>
                      <w:szCs w:val="21"/>
                    </w:rPr>
                    <w:t>检测时间</w:t>
                  </w:r>
                </w:p>
              </w:tc>
              <w:tc>
                <w:tcPr>
                  <w:tcW w:w="725" w:type="pct"/>
                  <w:vAlign w:val="center"/>
                </w:tcPr>
                <w:p>
                  <w:pPr>
                    <w:pStyle w:val="80"/>
                    <w:rPr>
                      <w:color w:val="auto"/>
                      <w:sz w:val="21"/>
                      <w:szCs w:val="21"/>
                    </w:rPr>
                  </w:pPr>
                  <w:r>
                    <w:rPr>
                      <w:color w:val="auto"/>
                      <w:sz w:val="21"/>
                      <w:szCs w:val="21"/>
                    </w:rPr>
                    <w:t>检测结果dB(A)</w:t>
                  </w:r>
                </w:p>
              </w:tc>
              <w:tc>
                <w:tcPr>
                  <w:tcW w:w="629" w:type="pct"/>
                  <w:vAlign w:val="center"/>
                </w:tcPr>
                <w:p>
                  <w:pPr>
                    <w:pStyle w:val="80"/>
                    <w:rPr>
                      <w:color w:val="auto"/>
                      <w:sz w:val="21"/>
                      <w:szCs w:val="21"/>
                    </w:rPr>
                  </w:pPr>
                  <w:r>
                    <w:rPr>
                      <w:color w:val="auto"/>
                      <w:sz w:val="21"/>
                      <w:szCs w:val="21"/>
                    </w:rPr>
                    <w:t>标准限值dB(A)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restart"/>
                  <w:vAlign w:val="center"/>
                </w:tcPr>
                <w:p>
                  <w:pPr>
                    <w:jc w:val="center"/>
                    <w:rPr>
                      <w:bCs/>
                      <w:color w:val="auto"/>
                      <w:szCs w:val="21"/>
                    </w:rPr>
                  </w:pPr>
                  <w:r>
                    <w:rPr>
                      <w:bCs/>
                      <w:color w:val="auto"/>
                      <w:szCs w:val="21"/>
                    </w:rPr>
                    <w:fldChar w:fldCharType="begin"/>
                  </w:r>
                  <w:r>
                    <w:rPr>
                      <w:bCs/>
                      <w:color w:val="auto"/>
                      <w:szCs w:val="21"/>
                    </w:rPr>
                    <w:instrText xml:space="preserve"> REF 噪声1 \h \* MERGEFORMAT</w:instrText>
                  </w:r>
                  <w:r>
                    <w:rPr>
                      <w:bCs/>
                      <w:color w:val="auto"/>
                      <w:szCs w:val="21"/>
                    </w:rPr>
                    <w:fldChar w:fldCharType="separate"/>
                  </w:r>
                  <w:r>
                    <w:rPr>
                      <w:bCs/>
                      <w:color w:val="auto"/>
                      <w:szCs w:val="21"/>
                    </w:rPr>
                    <w:t>1# 广坪河堤防起点右岸附近双河村居民</w:t>
                  </w:r>
                  <w:r>
                    <w:rPr>
                      <w:bCs/>
                      <w:color w:val="auto"/>
                      <w:szCs w:val="21"/>
                    </w:rPr>
                    <w:fldChar w:fldCharType="end"/>
                  </w:r>
                </w:p>
              </w:tc>
              <w:tc>
                <w:tcPr>
                  <w:tcW w:w="611" w:type="pct"/>
                  <w:vMerge w:val="restart"/>
                  <w:vAlign w:val="center"/>
                </w:tcPr>
                <w:p>
                  <w:pPr>
                    <w:pStyle w:val="31"/>
                    <w:adjustRightInd w:val="0"/>
                    <w:spacing w:before="0" w:beforeAutospacing="0" w:after="0" w:afterAutospacing="0"/>
                    <w:jc w:val="center"/>
                    <w:rPr>
                      <w:rFonts w:ascii="Times New Roman" w:hAnsi="Times New Roman"/>
                      <w:bCs/>
                      <w:color w:val="auto"/>
                      <w:sz w:val="21"/>
                      <w:szCs w:val="21"/>
                    </w:rPr>
                  </w:pPr>
                  <w:r>
                    <w:rPr>
                      <w:rFonts w:ascii="Times New Roman" w:hAnsi="Times New Roman"/>
                      <w:color w:val="auto"/>
                      <w:sz w:val="21"/>
                      <w:szCs w:val="21"/>
                    </w:rPr>
                    <w:t>6月6日</w:t>
                  </w:r>
                </w:p>
              </w:tc>
              <w:tc>
                <w:tcPr>
                  <w:tcW w:w="1258" w:type="pct"/>
                  <w:vAlign w:val="center"/>
                </w:tcPr>
                <w:p>
                  <w:pPr>
                    <w:widowControl/>
                    <w:jc w:val="center"/>
                    <w:textAlignment w:val="center"/>
                    <w:rPr>
                      <w:color w:val="auto"/>
                      <w:szCs w:val="21"/>
                      <w:lang w:bidi="ar"/>
                    </w:rPr>
                  </w:pPr>
                  <w:r>
                    <w:rPr>
                      <w:color w:val="auto"/>
                      <w:szCs w:val="21"/>
                      <w:lang w:bidi="ar"/>
                    </w:rPr>
                    <w:t>15:20-15:30（昼）</w:t>
                  </w:r>
                </w:p>
              </w:tc>
              <w:tc>
                <w:tcPr>
                  <w:tcW w:w="725" w:type="pct"/>
                  <w:vAlign w:val="center"/>
                </w:tcPr>
                <w:p>
                  <w:pPr>
                    <w:widowControl/>
                    <w:jc w:val="center"/>
                    <w:textAlignment w:val="center"/>
                    <w:rPr>
                      <w:color w:val="auto"/>
                      <w:szCs w:val="21"/>
                      <w:lang w:bidi="ar"/>
                    </w:rPr>
                  </w:pPr>
                  <w:r>
                    <w:rPr>
                      <w:color w:val="auto"/>
                      <w:szCs w:val="21"/>
                      <w:lang w:bidi="ar"/>
                    </w:rPr>
                    <w:t>54</w:t>
                  </w:r>
                </w:p>
              </w:tc>
              <w:tc>
                <w:tcPr>
                  <w:tcW w:w="629" w:type="pct"/>
                  <w:vMerge w:val="restart"/>
                  <w:vAlign w:val="center"/>
                </w:tcPr>
                <w:p>
                  <w:pPr>
                    <w:widowControl/>
                    <w:jc w:val="center"/>
                    <w:textAlignment w:val="center"/>
                    <w:rPr>
                      <w:color w:val="auto"/>
                      <w:szCs w:val="21"/>
                    </w:rPr>
                  </w:pPr>
                  <w:r>
                    <w:rPr>
                      <w:color w:val="auto"/>
                      <w:szCs w:val="21"/>
                    </w:rPr>
                    <w:t>昼间≤60</w:t>
                  </w:r>
                </w:p>
                <w:p>
                  <w:pPr>
                    <w:widowControl/>
                    <w:jc w:val="center"/>
                    <w:textAlignment w:val="center"/>
                    <w:rPr>
                      <w:color w:val="auto"/>
                      <w:szCs w:val="21"/>
                      <w:lang w:bidi="ar"/>
                    </w:rPr>
                  </w:pPr>
                  <w:r>
                    <w:rPr>
                      <w:color w:val="auto"/>
                      <w:szCs w:val="21"/>
                    </w:rPr>
                    <w:t>夜间≤50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22:01-22:11（夜）</w:t>
                  </w:r>
                </w:p>
              </w:tc>
              <w:tc>
                <w:tcPr>
                  <w:tcW w:w="725" w:type="pct"/>
                  <w:vAlign w:val="center"/>
                </w:tcPr>
                <w:p>
                  <w:pPr>
                    <w:widowControl/>
                    <w:jc w:val="center"/>
                    <w:textAlignment w:val="center"/>
                    <w:rPr>
                      <w:color w:val="auto"/>
                      <w:szCs w:val="21"/>
                      <w:lang w:bidi="ar"/>
                    </w:rPr>
                  </w:pPr>
                  <w:r>
                    <w:rPr>
                      <w:color w:val="auto"/>
                      <w:szCs w:val="21"/>
                      <w:lang w:bidi="ar"/>
                    </w:rPr>
                    <w:t>44</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restart"/>
                  <w:vAlign w:val="center"/>
                </w:tcPr>
                <w:p>
                  <w:pPr>
                    <w:jc w:val="center"/>
                    <w:rPr>
                      <w:bCs/>
                      <w:color w:val="auto"/>
                      <w:szCs w:val="21"/>
                    </w:rPr>
                  </w:pPr>
                  <w:r>
                    <w:rPr>
                      <w:bCs/>
                      <w:color w:val="auto"/>
                      <w:szCs w:val="21"/>
                    </w:rPr>
                    <w:fldChar w:fldCharType="begin"/>
                  </w:r>
                  <w:r>
                    <w:rPr>
                      <w:bCs/>
                      <w:color w:val="auto"/>
                      <w:szCs w:val="21"/>
                    </w:rPr>
                    <w:instrText xml:space="preserve"> REF 噪声2 \h \* MERGEFORMAT</w:instrText>
                  </w:r>
                  <w:r>
                    <w:rPr>
                      <w:bCs/>
                      <w:color w:val="auto"/>
                      <w:szCs w:val="21"/>
                    </w:rPr>
                    <w:fldChar w:fldCharType="separate"/>
                  </w:r>
                  <w:r>
                    <w:rPr>
                      <w:bCs/>
                      <w:color w:val="auto"/>
                      <w:szCs w:val="21"/>
                    </w:rPr>
                    <w:t>2# 广坪河左岸徐家坝居民</w:t>
                  </w:r>
                  <w:r>
                    <w:rPr>
                      <w:bCs/>
                      <w:color w:val="auto"/>
                      <w:szCs w:val="21"/>
                    </w:rPr>
                    <w:fldChar w:fldCharType="end"/>
                  </w: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15:42-15:52（昼）</w:t>
                  </w:r>
                </w:p>
              </w:tc>
              <w:tc>
                <w:tcPr>
                  <w:tcW w:w="725" w:type="pct"/>
                  <w:vAlign w:val="center"/>
                </w:tcPr>
                <w:p>
                  <w:pPr>
                    <w:widowControl/>
                    <w:jc w:val="center"/>
                    <w:textAlignment w:val="center"/>
                    <w:rPr>
                      <w:color w:val="auto"/>
                      <w:szCs w:val="21"/>
                      <w:lang w:bidi="ar"/>
                    </w:rPr>
                  </w:pPr>
                  <w:r>
                    <w:rPr>
                      <w:color w:val="auto"/>
                      <w:szCs w:val="21"/>
                      <w:lang w:bidi="ar"/>
                    </w:rPr>
                    <w:t>54</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22:19-22:29（夜）</w:t>
                  </w:r>
                </w:p>
              </w:tc>
              <w:tc>
                <w:tcPr>
                  <w:tcW w:w="725" w:type="pct"/>
                  <w:vAlign w:val="center"/>
                </w:tcPr>
                <w:p>
                  <w:pPr>
                    <w:widowControl/>
                    <w:jc w:val="center"/>
                    <w:textAlignment w:val="center"/>
                    <w:rPr>
                      <w:color w:val="auto"/>
                      <w:szCs w:val="21"/>
                      <w:lang w:bidi="ar"/>
                    </w:rPr>
                  </w:pPr>
                  <w:r>
                    <w:rPr>
                      <w:color w:val="auto"/>
                      <w:szCs w:val="21"/>
                      <w:lang w:bidi="ar"/>
                    </w:rPr>
                    <w:t>43</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restart"/>
                  <w:vAlign w:val="center"/>
                </w:tcPr>
                <w:p>
                  <w:pPr>
                    <w:widowControl/>
                    <w:jc w:val="center"/>
                    <w:textAlignment w:val="center"/>
                    <w:rPr>
                      <w:bCs/>
                      <w:color w:val="auto"/>
                      <w:szCs w:val="21"/>
                    </w:rPr>
                  </w:pPr>
                  <w:r>
                    <w:rPr>
                      <w:bCs/>
                      <w:color w:val="auto"/>
                      <w:szCs w:val="21"/>
                    </w:rPr>
                    <w:fldChar w:fldCharType="begin"/>
                  </w:r>
                  <w:r>
                    <w:rPr>
                      <w:bCs/>
                      <w:color w:val="auto"/>
                      <w:szCs w:val="21"/>
                    </w:rPr>
                    <w:instrText xml:space="preserve"> REF 噪声3 \h \* MERGEFORMAT</w:instrText>
                  </w:r>
                  <w:r>
                    <w:rPr>
                      <w:bCs/>
                      <w:color w:val="auto"/>
                      <w:szCs w:val="21"/>
                    </w:rPr>
                    <w:fldChar w:fldCharType="separate"/>
                  </w:r>
                  <w:r>
                    <w:rPr>
                      <w:bCs/>
                      <w:color w:val="auto"/>
                      <w:szCs w:val="21"/>
                    </w:rPr>
                    <w:t>3# 广坪河右岸仇坝村居民1</w:t>
                  </w:r>
                  <w:r>
                    <w:rPr>
                      <w:bCs/>
                      <w:color w:val="auto"/>
                      <w:szCs w:val="21"/>
                    </w:rPr>
                    <w:fldChar w:fldCharType="end"/>
                  </w: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16:03-16:13（昼）</w:t>
                  </w:r>
                </w:p>
              </w:tc>
              <w:tc>
                <w:tcPr>
                  <w:tcW w:w="725" w:type="pct"/>
                  <w:vAlign w:val="center"/>
                </w:tcPr>
                <w:p>
                  <w:pPr>
                    <w:widowControl/>
                    <w:jc w:val="center"/>
                    <w:textAlignment w:val="center"/>
                    <w:rPr>
                      <w:color w:val="auto"/>
                      <w:szCs w:val="21"/>
                      <w:lang w:bidi="ar"/>
                    </w:rPr>
                  </w:pPr>
                  <w:r>
                    <w:rPr>
                      <w:color w:val="auto"/>
                      <w:szCs w:val="21"/>
                      <w:lang w:bidi="ar"/>
                    </w:rPr>
                    <w:t>52</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774"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22:37-22:47（夜）</w:t>
                  </w:r>
                </w:p>
              </w:tc>
              <w:tc>
                <w:tcPr>
                  <w:tcW w:w="725" w:type="pct"/>
                  <w:vAlign w:val="center"/>
                </w:tcPr>
                <w:p>
                  <w:pPr>
                    <w:widowControl/>
                    <w:jc w:val="center"/>
                    <w:textAlignment w:val="center"/>
                    <w:rPr>
                      <w:color w:val="auto"/>
                      <w:szCs w:val="21"/>
                      <w:lang w:bidi="ar"/>
                    </w:rPr>
                  </w:pPr>
                  <w:r>
                    <w:rPr>
                      <w:color w:val="auto"/>
                      <w:szCs w:val="21"/>
                      <w:lang w:bidi="ar"/>
                    </w:rPr>
                    <w:t>45</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restart"/>
                  <w:vAlign w:val="center"/>
                </w:tcPr>
                <w:p>
                  <w:pPr>
                    <w:widowControl/>
                    <w:jc w:val="center"/>
                    <w:textAlignment w:val="center"/>
                    <w:rPr>
                      <w:bCs/>
                      <w:color w:val="auto"/>
                      <w:szCs w:val="21"/>
                    </w:rPr>
                  </w:pPr>
                  <w:r>
                    <w:rPr>
                      <w:bCs/>
                      <w:color w:val="auto"/>
                      <w:szCs w:val="21"/>
                    </w:rPr>
                    <w:fldChar w:fldCharType="begin"/>
                  </w:r>
                  <w:r>
                    <w:rPr>
                      <w:bCs/>
                      <w:color w:val="auto"/>
                      <w:szCs w:val="21"/>
                    </w:rPr>
                    <w:instrText xml:space="preserve"> REF 噪声4 \h \* MERGEFORMAT</w:instrText>
                  </w:r>
                  <w:r>
                    <w:rPr>
                      <w:bCs/>
                      <w:color w:val="auto"/>
                      <w:szCs w:val="21"/>
                    </w:rPr>
                    <w:fldChar w:fldCharType="separate"/>
                  </w:r>
                  <w:r>
                    <w:rPr>
                      <w:bCs/>
                      <w:color w:val="auto"/>
                      <w:szCs w:val="21"/>
                    </w:rPr>
                    <w:t>4# 广坪河右岸仇坝村居民2</w:t>
                  </w:r>
                  <w:r>
                    <w:rPr>
                      <w:bCs/>
                      <w:color w:val="auto"/>
                      <w:szCs w:val="21"/>
                    </w:rPr>
                    <w:fldChar w:fldCharType="end"/>
                  </w: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16:23-16:33（昼）</w:t>
                  </w:r>
                </w:p>
              </w:tc>
              <w:tc>
                <w:tcPr>
                  <w:tcW w:w="725" w:type="pct"/>
                  <w:vAlign w:val="center"/>
                </w:tcPr>
                <w:p>
                  <w:pPr>
                    <w:widowControl/>
                    <w:jc w:val="center"/>
                    <w:textAlignment w:val="center"/>
                    <w:rPr>
                      <w:color w:val="auto"/>
                      <w:szCs w:val="21"/>
                      <w:lang w:bidi="ar"/>
                    </w:rPr>
                  </w:pPr>
                  <w:r>
                    <w:rPr>
                      <w:color w:val="auto"/>
                      <w:szCs w:val="21"/>
                      <w:lang w:bidi="ar"/>
                    </w:rPr>
                    <w:t>55</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22:54-23:04（夜）</w:t>
                  </w:r>
                </w:p>
              </w:tc>
              <w:tc>
                <w:tcPr>
                  <w:tcW w:w="725" w:type="pct"/>
                  <w:vAlign w:val="center"/>
                </w:tcPr>
                <w:p>
                  <w:pPr>
                    <w:widowControl/>
                    <w:jc w:val="center"/>
                    <w:textAlignment w:val="center"/>
                    <w:rPr>
                      <w:color w:val="auto"/>
                      <w:szCs w:val="21"/>
                      <w:lang w:bidi="ar"/>
                    </w:rPr>
                  </w:pPr>
                  <w:r>
                    <w:rPr>
                      <w:color w:val="auto"/>
                      <w:szCs w:val="21"/>
                      <w:lang w:bidi="ar"/>
                    </w:rPr>
                    <w:t>43</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restart"/>
                  <w:vAlign w:val="center"/>
                </w:tcPr>
                <w:p>
                  <w:pPr>
                    <w:widowControl/>
                    <w:jc w:val="center"/>
                    <w:textAlignment w:val="center"/>
                    <w:rPr>
                      <w:bCs/>
                      <w:color w:val="auto"/>
                      <w:szCs w:val="21"/>
                    </w:rPr>
                  </w:pPr>
                  <w:r>
                    <w:rPr>
                      <w:bCs/>
                      <w:color w:val="auto"/>
                      <w:szCs w:val="21"/>
                    </w:rPr>
                    <w:fldChar w:fldCharType="begin"/>
                  </w:r>
                  <w:r>
                    <w:rPr>
                      <w:bCs/>
                      <w:color w:val="auto"/>
                      <w:szCs w:val="21"/>
                    </w:rPr>
                    <w:instrText xml:space="preserve"> REF 噪声5 \h \* MERGEFORMAT</w:instrText>
                  </w:r>
                  <w:r>
                    <w:rPr>
                      <w:bCs/>
                      <w:color w:val="auto"/>
                      <w:szCs w:val="21"/>
                    </w:rPr>
                    <w:fldChar w:fldCharType="separate"/>
                  </w:r>
                  <w:r>
                    <w:rPr>
                      <w:bCs/>
                      <w:color w:val="auto"/>
                      <w:szCs w:val="21"/>
                    </w:rPr>
                    <w:t>5# 广坪河右岸吴坝村居民</w:t>
                  </w:r>
                  <w:r>
                    <w:rPr>
                      <w:bCs/>
                      <w:color w:val="auto"/>
                      <w:szCs w:val="21"/>
                    </w:rPr>
                    <w:fldChar w:fldCharType="end"/>
                  </w: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16:42-16:52（昼）</w:t>
                  </w:r>
                </w:p>
              </w:tc>
              <w:tc>
                <w:tcPr>
                  <w:tcW w:w="725" w:type="pct"/>
                  <w:vAlign w:val="center"/>
                </w:tcPr>
                <w:p>
                  <w:pPr>
                    <w:widowControl/>
                    <w:jc w:val="center"/>
                    <w:textAlignment w:val="center"/>
                    <w:rPr>
                      <w:color w:val="auto"/>
                      <w:szCs w:val="21"/>
                      <w:lang w:bidi="ar"/>
                    </w:rPr>
                  </w:pPr>
                  <w:r>
                    <w:rPr>
                      <w:color w:val="auto"/>
                      <w:szCs w:val="21"/>
                      <w:lang w:bidi="ar"/>
                    </w:rPr>
                    <w:t>52</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23:15-23:25（夜）</w:t>
                  </w:r>
                </w:p>
              </w:tc>
              <w:tc>
                <w:tcPr>
                  <w:tcW w:w="725" w:type="pct"/>
                  <w:vAlign w:val="center"/>
                </w:tcPr>
                <w:p>
                  <w:pPr>
                    <w:widowControl/>
                    <w:jc w:val="center"/>
                    <w:textAlignment w:val="center"/>
                    <w:rPr>
                      <w:color w:val="auto"/>
                      <w:szCs w:val="21"/>
                      <w:lang w:bidi="ar"/>
                    </w:rPr>
                  </w:pPr>
                  <w:r>
                    <w:rPr>
                      <w:color w:val="auto"/>
                      <w:szCs w:val="21"/>
                      <w:lang w:bidi="ar"/>
                    </w:rPr>
                    <w:t>42</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restart"/>
                  <w:vAlign w:val="center"/>
                </w:tcPr>
                <w:p>
                  <w:pPr>
                    <w:widowControl/>
                    <w:jc w:val="center"/>
                    <w:textAlignment w:val="center"/>
                    <w:rPr>
                      <w:bCs/>
                      <w:color w:val="auto"/>
                      <w:szCs w:val="21"/>
                    </w:rPr>
                  </w:pPr>
                  <w:r>
                    <w:rPr>
                      <w:bCs/>
                      <w:color w:val="auto"/>
                      <w:szCs w:val="21"/>
                    </w:rPr>
                    <w:fldChar w:fldCharType="begin"/>
                  </w:r>
                  <w:r>
                    <w:rPr>
                      <w:bCs/>
                      <w:color w:val="auto"/>
                      <w:szCs w:val="21"/>
                    </w:rPr>
                    <w:instrText xml:space="preserve"> REF 噪声6 \h \* MERGEFORMAT</w:instrText>
                  </w:r>
                  <w:r>
                    <w:rPr>
                      <w:bCs/>
                      <w:color w:val="auto"/>
                      <w:szCs w:val="21"/>
                    </w:rPr>
                    <w:fldChar w:fldCharType="separate"/>
                  </w:r>
                  <w:r>
                    <w:rPr>
                      <w:bCs/>
                      <w:color w:val="auto"/>
                      <w:szCs w:val="21"/>
                    </w:rPr>
                    <w:t>6# 广坪河左岸堤防终点附近青羊村居民</w:t>
                  </w:r>
                  <w:r>
                    <w:rPr>
                      <w:bCs/>
                      <w:color w:val="auto"/>
                      <w:szCs w:val="21"/>
                    </w:rPr>
                    <w:fldChar w:fldCharType="end"/>
                  </w: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17:12-17:22（昼）</w:t>
                  </w:r>
                </w:p>
              </w:tc>
              <w:tc>
                <w:tcPr>
                  <w:tcW w:w="725" w:type="pct"/>
                  <w:vAlign w:val="center"/>
                </w:tcPr>
                <w:p>
                  <w:pPr>
                    <w:widowControl/>
                    <w:jc w:val="center"/>
                    <w:textAlignment w:val="center"/>
                    <w:rPr>
                      <w:color w:val="auto"/>
                      <w:szCs w:val="21"/>
                      <w:lang w:bidi="ar"/>
                    </w:rPr>
                  </w:pPr>
                  <w:r>
                    <w:rPr>
                      <w:color w:val="auto"/>
                      <w:szCs w:val="21"/>
                      <w:lang w:bidi="ar"/>
                    </w:rPr>
                    <w:t>51</w:t>
                  </w:r>
                </w:p>
              </w:tc>
              <w:tc>
                <w:tcPr>
                  <w:tcW w:w="629" w:type="pct"/>
                  <w:vMerge w:val="continue"/>
                  <w:vAlign w:val="center"/>
                </w:tcPr>
                <w:p>
                  <w:pPr>
                    <w:widowControl/>
                    <w:jc w:val="center"/>
                    <w:textAlignment w:val="center"/>
                    <w:rPr>
                      <w:color w:val="auto"/>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774"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611" w:type="pct"/>
                  <w:vMerge w:val="continue"/>
                  <w:vAlign w:val="center"/>
                </w:tcPr>
                <w:p>
                  <w:pPr>
                    <w:pStyle w:val="31"/>
                    <w:adjustRightInd w:val="0"/>
                    <w:spacing w:before="0" w:beforeAutospacing="0" w:after="0" w:afterAutospacing="0"/>
                    <w:jc w:val="center"/>
                    <w:rPr>
                      <w:rFonts w:ascii="Times New Roman" w:hAnsi="Times New Roman"/>
                      <w:bCs/>
                      <w:color w:val="auto"/>
                      <w:sz w:val="21"/>
                      <w:szCs w:val="21"/>
                    </w:rPr>
                  </w:pPr>
                </w:p>
              </w:tc>
              <w:tc>
                <w:tcPr>
                  <w:tcW w:w="1258" w:type="pct"/>
                  <w:vAlign w:val="center"/>
                </w:tcPr>
                <w:p>
                  <w:pPr>
                    <w:widowControl/>
                    <w:jc w:val="center"/>
                    <w:textAlignment w:val="center"/>
                    <w:rPr>
                      <w:color w:val="auto"/>
                      <w:szCs w:val="21"/>
                      <w:lang w:bidi="ar"/>
                    </w:rPr>
                  </w:pPr>
                  <w:r>
                    <w:rPr>
                      <w:color w:val="auto"/>
                      <w:szCs w:val="21"/>
                      <w:lang w:bidi="ar"/>
                    </w:rPr>
                    <w:t>23:48-23:58（夜）</w:t>
                  </w:r>
                </w:p>
              </w:tc>
              <w:tc>
                <w:tcPr>
                  <w:tcW w:w="725" w:type="pct"/>
                  <w:vAlign w:val="center"/>
                </w:tcPr>
                <w:p>
                  <w:pPr>
                    <w:widowControl/>
                    <w:jc w:val="center"/>
                    <w:textAlignment w:val="center"/>
                    <w:rPr>
                      <w:color w:val="auto"/>
                      <w:szCs w:val="21"/>
                      <w:lang w:bidi="ar"/>
                    </w:rPr>
                  </w:pPr>
                  <w:r>
                    <w:rPr>
                      <w:color w:val="auto"/>
                      <w:szCs w:val="21"/>
                      <w:lang w:bidi="ar"/>
                    </w:rPr>
                    <w:t>43</w:t>
                  </w:r>
                </w:p>
              </w:tc>
              <w:tc>
                <w:tcPr>
                  <w:tcW w:w="629" w:type="pct"/>
                  <w:vMerge w:val="continue"/>
                  <w:vAlign w:val="center"/>
                </w:tcPr>
                <w:p>
                  <w:pPr>
                    <w:widowControl/>
                    <w:jc w:val="center"/>
                    <w:textAlignment w:val="center"/>
                    <w:rPr>
                      <w:color w:val="auto"/>
                      <w:szCs w:val="21"/>
                      <w:lang w:bidi="ar"/>
                    </w:rPr>
                  </w:pPr>
                </w:p>
              </w:tc>
            </w:tr>
          </w:tbl>
          <w:p>
            <w:pPr>
              <w:widowControl/>
              <w:adjustRightInd w:val="0"/>
              <w:snapToGrid w:val="0"/>
              <w:spacing w:before="120" w:beforeLines="50" w:line="360" w:lineRule="auto"/>
              <w:ind w:firstLine="480" w:firstLineChars="200"/>
              <w:rPr>
                <w:color w:val="auto"/>
                <w:sz w:val="24"/>
              </w:rPr>
            </w:pPr>
            <w:r>
              <w:rPr>
                <w:color w:val="auto"/>
                <w:sz w:val="24"/>
              </w:rPr>
              <w:t>由上表监测结果可知，各点位昼夜间噪声值均满足《声环境质量标准》（GB 3096-2008）表1中2类标准限值要求，项目区域声环境质量较好。</w:t>
            </w:r>
          </w:p>
          <w:p>
            <w:pPr>
              <w:adjustRightInd w:val="0"/>
              <w:snapToGrid w:val="0"/>
              <w:spacing w:line="360" w:lineRule="auto"/>
              <w:rPr>
                <w:b/>
                <w:bCs/>
                <w:color w:val="auto"/>
                <w:kern w:val="0"/>
                <w:sz w:val="24"/>
              </w:rPr>
            </w:pPr>
            <w:r>
              <w:rPr>
                <w:b/>
                <w:bCs/>
                <w:color w:val="auto"/>
                <w:kern w:val="0"/>
                <w:sz w:val="24"/>
              </w:rPr>
              <w:t>四、土壤环境质量现状</w:t>
            </w:r>
          </w:p>
          <w:p>
            <w:pPr>
              <w:spacing w:line="360" w:lineRule="auto"/>
              <w:ind w:firstLine="480" w:firstLineChars="200"/>
              <w:rPr>
                <w:color w:val="auto"/>
                <w:sz w:val="24"/>
              </w:rPr>
            </w:pPr>
            <w:r>
              <w:rPr>
                <w:color w:val="auto"/>
                <w:sz w:val="24"/>
              </w:rPr>
              <w:t>根据《建设项目环境影响报告表编制指南》（生态影响类）（试行），土壤等其他环境要素参照环境影响评价相关技术导则开展补充监测和调查。</w:t>
            </w:r>
          </w:p>
          <w:p>
            <w:pPr>
              <w:spacing w:line="360" w:lineRule="auto"/>
              <w:ind w:firstLine="480" w:firstLineChars="200"/>
              <w:rPr>
                <w:color w:val="auto"/>
                <w:sz w:val="24"/>
              </w:rPr>
            </w:pPr>
            <w:r>
              <w:rPr>
                <w:color w:val="auto"/>
                <w:sz w:val="24"/>
              </w:rPr>
              <w:t>本项目</w:t>
            </w:r>
            <w:r>
              <w:rPr>
                <w:rFonts w:hint="eastAsia"/>
                <w:color w:val="auto"/>
                <w:sz w:val="24"/>
              </w:rPr>
              <w:t>属于防洪治理工程</w:t>
            </w:r>
            <w:r>
              <w:rPr>
                <w:color w:val="auto"/>
                <w:sz w:val="24"/>
              </w:rPr>
              <w:t>，属于生态影响型项目，根据导则，本项目为Ⅳ类建设项目，可不开展土壤评价。因此，本项目土壤不进行监测。</w:t>
            </w:r>
          </w:p>
          <w:p>
            <w:pPr>
              <w:adjustRightInd w:val="0"/>
              <w:snapToGrid w:val="0"/>
              <w:spacing w:line="360" w:lineRule="auto"/>
              <w:rPr>
                <w:b/>
                <w:bCs/>
                <w:color w:val="auto"/>
                <w:kern w:val="0"/>
                <w:sz w:val="24"/>
              </w:rPr>
            </w:pPr>
            <w:r>
              <w:rPr>
                <w:b/>
                <w:bCs/>
                <w:color w:val="auto"/>
                <w:kern w:val="0"/>
                <w:sz w:val="24"/>
              </w:rPr>
              <w:t>五、地下水环境质量现状</w:t>
            </w:r>
          </w:p>
          <w:p>
            <w:pPr>
              <w:adjustRightInd w:val="0"/>
              <w:snapToGrid w:val="0"/>
              <w:spacing w:line="360" w:lineRule="auto"/>
              <w:ind w:firstLine="480" w:firstLineChars="200"/>
              <w:rPr>
                <w:color w:val="auto"/>
                <w:kern w:val="0"/>
                <w:sz w:val="24"/>
              </w:rPr>
            </w:pPr>
            <w:r>
              <w:rPr>
                <w:color w:val="auto"/>
                <w:kern w:val="0"/>
                <w:sz w:val="24"/>
              </w:rPr>
              <w:t>根据《建设项目环境影响报告编制技术指南》（生态影响类），水的监测参照环境影响评价相关技术导则开展补充监测。根据《环境影响评价技术导则 地下水环境》（HJ610-2016），本项目属于Ⅳ类项目，可不开展地下水评价。</w:t>
            </w:r>
          </w:p>
          <w:p>
            <w:pPr>
              <w:spacing w:line="360" w:lineRule="auto"/>
              <w:rPr>
                <w:b/>
                <w:bCs/>
                <w:color w:val="auto"/>
                <w:sz w:val="24"/>
              </w:rPr>
            </w:pPr>
            <w:r>
              <w:rPr>
                <w:b/>
                <w:bCs/>
                <w:color w:val="auto"/>
                <w:sz w:val="24"/>
              </w:rPr>
              <w:t>六、生态现状</w:t>
            </w:r>
          </w:p>
          <w:p>
            <w:pPr>
              <w:spacing w:line="360" w:lineRule="auto"/>
              <w:ind w:firstLine="482" w:firstLineChars="200"/>
              <w:rPr>
                <w:b/>
                <w:bCs/>
                <w:color w:val="auto"/>
                <w:sz w:val="24"/>
              </w:rPr>
            </w:pPr>
            <w:r>
              <w:rPr>
                <w:b/>
                <w:bCs/>
                <w:color w:val="auto"/>
                <w:sz w:val="24"/>
              </w:rPr>
              <w:t>1、区域生态功能定位</w:t>
            </w:r>
          </w:p>
          <w:p>
            <w:pPr>
              <w:spacing w:line="360" w:lineRule="auto"/>
              <w:ind w:firstLine="482" w:firstLineChars="200"/>
              <w:rPr>
                <w:b/>
                <w:bCs/>
                <w:color w:val="auto"/>
                <w:sz w:val="24"/>
              </w:rPr>
            </w:pPr>
            <w:r>
              <w:rPr>
                <w:b/>
                <w:bCs/>
                <w:color w:val="auto"/>
                <w:sz w:val="24"/>
              </w:rPr>
              <w:t>（1）主体功能区划</w:t>
            </w:r>
          </w:p>
          <w:p>
            <w:pPr>
              <w:spacing w:line="360" w:lineRule="auto"/>
              <w:ind w:firstLine="480" w:firstLineChars="200"/>
              <w:rPr>
                <w:color w:val="auto"/>
                <w:sz w:val="24"/>
              </w:rPr>
            </w:pPr>
            <w:r>
              <w:rPr>
                <w:color w:val="auto"/>
                <w:sz w:val="24"/>
              </w:rPr>
              <w:t>A、主体功能划分</w:t>
            </w:r>
          </w:p>
          <w:p>
            <w:pPr>
              <w:spacing w:line="360" w:lineRule="auto"/>
              <w:ind w:firstLine="480" w:firstLineChars="200"/>
              <w:rPr>
                <w:color w:val="auto"/>
                <w:sz w:val="24"/>
              </w:rPr>
            </w:pPr>
            <w:r>
              <w:rPr>
                <w:color w:val="auto"/>
                <w:sz w:val="24"/>
              </w:rPr>
              <w:t>根据《四川省主体功能区规划》，四川省主体功能区划分为重点开发区域（国家层面、省级层面）、限制开发区域（农产品主产区、重点生态功能区）、禁止开发区域（国家层面、省级层面）。重点开发和限制开发区域原则上以县级行政区为基本单元，禁止开发区域以自然或法定边界为基本单元，分布在其他类型主体功能区域之中；按开发内容，分为城市化地区、农产品主产区和重点生态功能区；按层级，分为国家和省级两个层面。</w:t>
            </w:r>
          </w:p>
          <w:p>
            <w:pPr>
              <w:spacing w:line="360" w:lineRule="auto"/>
              <w:ind w:firstLine="480" w:firstLineChars="200"/>
              <w:rPr>
                <w:color w:val="auto"/>
                <w:sz w:val="24"/>
              </w:rPr>
            </w:pPr>
            <w:r>
              <w:rPr>
                <w:color w:val="auto"/>
                <w:sz w:val="24"/>
              </w:rPr>
              <w:t>重点开发区域、限制开发区域和禁止开发区域，是基于不同区域的资源环境承载能力、现有开发强度和未来发展潜力，以是否适宜或如何进行大规模高强度工业化城镇化开发为基准划分的。</w:t>
            </w:r>
          </w:p>
          <w:p>
            <w:pPr>
              <w:spacing w:line="360" w:lineRule="auto"/>
              <w:ind w:firstLine="480" w:firstLineChars="200"/>
              <w:rPr>
                <w:color w:val="auto"/>
                <w:sz w:val="24"/>
              </w:rPr>
            </w:pPr>
            <w:r>
              <w:rPr>
                <w:color w:val="auto"/>
                <w:sz w:val="24"/>
              </w:rPr>
              <w:t>城市化地区、农产品主产区和重点生态功能区，是以提供主体产品的类型为基准划分的。城市化地区是以提供工业品和服务产品为主体功能的地区，也提供农产品和生态产品；农产品主产区是以提供农产品为主体功能的地区，也提供生态产品、服务产品和部分工业品；重点生态功能区是以提供生态产品为主体功能的地区，也提供一定的农产品、服务产品和工业品。</w:t>
            </w:r>
          </w:p>
          <w:p>
            <w:pPr>
              <w:spacing w:line="360" w:lineRule="auto"/>
              <w:ind w:firstLine="480" w:firstLineChars="200"/>
              <w:rPr>
                <w:color w:val="auto"/>
                <w:sz w:val="24"/>
              </w:rPr>
            </w:pPr>
            <w:r>
              <w:rPr>
                <w:color w:val="auto"/>
                <w:sz w:val="24"/>
              </w:rPr>
              <w:t>重点开发区域是有一定经济基础、资源环境承载能力较强、发展潜力较大、集聚人口和经济的条件较好，从而应该重点进行工业化城镇化开发的城市化地区。</w:t>
            </w:r>
          </w:p>
          <w:p>
            <w:pPr>
              <w:spacing w:line="360" w:lineRule="auto"/>
              <w:ind w:firstLine="480" w:firstLineChars="200"/>
              <w:rPr>
                <w:color w:val="auto"/>
                <w:sz w:val="24"/>
              </w:rPr>
            </w:pPr>
            <w:r>
              <w:rPr>
                <w:color w:val="auto"/>
                <w:sz w:val="24"/>
              </w:rPr>
              <w:t>限制开发区域分为两类：一类是农产品主产区，即耕地较多、农业发展条件较好，尽管也适宜工业化城镇化开发，但从保障国家农产品安全以及中华民族永续发展的需要出发，必须把增强农业综合生产能力作为发展的首要任务，从而应该限制进行大规模高强度工业化城镇化开发的地区；一类是重点生态功能区，即生态系统脆弱或生态功能重要，资源环境承载能力较低，不具备大规模高强度工业化城镇化开发的条件，必须把增强生态产品生产能力作为首要任务，从而应该限制进行大规模高强度工业化城镇化开发的地区。</w:t>
            </w:r>
          </w:p>
          <w:p>
            <w:pPr>
              <w:spacing w:line="360" w:lineRule="auto"/>
              <w:ind w:firstLine="480" w:firstLineChars="200"/>
              <w:rPr>
                <w:color w:val="auto"/>
                <w:sz w:val="24"/>
              </w:rPr>
            </w:pPr>
            <w:r>
              <w:rPr>
                <w:color w:val="auto"/>
                <w:sz w:val="24"/>
              </w:rPr>
              <w:t>禁止开发区域是依法设立的各级各类自然文化资源保护区域，以及其他禁止进行工业化城镇化开发、需要特殊保护的重点生态功能区。国家层面禁止开发区域，包括国家级自然保护区、世界文化自然遗产、国家森林公园、国家地质公园、国家级风景名胜区、国家重要湿地和国家湿地公园等。省级层面的禁止开发区域，包括省级及以下各级各类自然文化资源保护区域、重要水源地以及其他省级人民政府根据需要确定的禁止开发区域。</w:t>
            </w:r>
          </w:p>
          <w:p>
            <w:pPr>
              <w:spacing w:line="360" w:lineRule="auto"/>
              <w:ind w:firstLine="480" w:firstLineChars="200"/>
              <w:rPr>
                <w:color w:val="auto"/>
                <w:sz w:val="24"/>
              </w:rPr>
            </w:pPr>
            <w:r>
              <w:rPr>
                <w:color w:val="auto"/>
                <w:sz w:val="24"/>
              </w:rPr>
              <w:t>B、本项目所处区域</w:t>
            </w:r>
          </w:p>
          <w:p>
            <w:pPr>
              <w:spacing w:line="360" w:lineRule="auto"/>
              <w:ind w:firstLine="480" w:firstLineChars="200"/>
              <w:rPr>
                <w:color w:val="auto"/>
                <w:sz w:val="24"/>
              </w:rPr>
            </w:pPr>
            <w:r>
              <w:rPr>
                <w:color w:val="auto"/>
                <w:sz w:val="24"/>
              </w:rPr>
              <w:t>根据《四川省主体功能区划》，本项目所在区域位于四川嘉陵江源湿地市级自然保护区，属于重点生态功能区，为国家层面限制开发重点生态功能区，重要性为高。</w:t>
            </w:r>
          </w:p>
          <w:p>
            <w:pPr>
              <w:spacing w:line="360" w:lineRule="auto"/>
              <w:ind w:firstLine="480" w:firstLineChars="200"/>
              <w:rPr>
                <w:color w:val="auto"/>
                <w:sz w:val="24"/>
              </w:rPr>
            </w:pPr>
            <w:r>
              <w:rPr>
                <w:color w:val="auto"/>
                <w:sz w:val="24"/>
              </w:rPr>
              <w:t>因此项目所在地需严格按照限制开发区域与重点生态功能区域要求进行管理，具体如下：</w:t>
            </w:r>
          </w:p>
          <w:p>
            <w:pPr>
              <w:spacing w:line="360" w:lineRule="auto"/>
              <w:ind w:firstLine="482" w:firstLineChars="200"/>
              <w:rPr>
                <w:color w:val="auto"/>
                <w:sz w:val="24"/>
              </w:rPr>
            </w:pPr>
            <w:r>
              <w:rPr>
                <w:b/>
                <w:bCs/>
                <w:color w:val="auto"/>
                <w:sz w:val="24"/>
              </w:rPr>
              <w:t>——严格控制开发强度。</w:t>
            </w:r>
            <w:r>
              <w:rPr>
                <w:color w:val="auto"/>
                <w:sz w:val="24"/>
              </w:rPr>
              <w:t>城镇建设与工业开发要依据现有资源环境承载能力相对较强的城镇集中布局、据点式开发，禁止成片蔓延式扩张。原则上不再新建各类开发区和扩大现有工业开发区的面积，已有的工业开发区要逐步改造成为低消耗、可循环、少排放、“零污染”的生态型工业区。</w:t>
            </w:r>
          </w:p>
          <w:p>
            <w:pPr>
              <w:spacing w:line="360" w:lineRule="auto"/>
              <w:ind w:firstLine="482" w:firstLineChars="200"/>
              <w:rPr>
                <w:color w:val="auto"/>
                <w:sz w:val="24"/>
              </w:rPr>
            </w:pPr>
            <w:r>
              <w:rPr>
                <w:b/>
                <w:bCs/>
                <w:color w:val="auto"/>
                <w:sz w:val="24"/>
              </w:rPr>
              <w:t>——因地制宜地发展适宜产业。</w:t>
            </w:r>
            <w:r>
              <w:rPr>
                <w:color w:val="auto"/>
                <w:sz w:val="24"/>
              </w:rPr>
              <w:t>在不损害生态系统功能的前提下，适度发展旅游、农林牧产品生产和加工、生态农业、休闲农业等产业。</w:t>
            </w:r>
          </w:p>
          <w:p>
            <w:pPr>
              <w:spacing w:line="360" w:lineRule="auto"/>
              <w:ind w:firstLine="482" w:firstLineChars="200"/>
              <w:rPr>
                <w:color w:val="auto"/>
                <w:sz w:val="24"/>
              </w:rPr>
            </w:pPr>
            <w:r>
              <w:rPr>
                <w:b/>
                <w:bCs/>
                <w:color w:val="auto"/>
                <w:sz w:val="24"/>
              </w:rPr>
              <w:t>——治理水土流失。</w:t>
            </w:r>
            <w:r>
              <w:rPr>
                <w:color w:val="auto"/>
                <w:sz w:val="24"/>
              </w:rPr>
              <w:t>限制陡坡垦殖和超载过牧。加强小流域综合治理，实行封山禁牧，恢复退化植被，治理水土流失。大力推行节水灌溉和雨水集蓄，发展旱作节水农业。加强对能源和矿产资源开发及建设项目的监管，加大矿山环境整治和生态修复力度，提高防洪减灾能力，加强地质灾害风险防治，最大限度地减少人为因素造成新的水土流失。</w:t>
            </w:r>
          </w:p>
          <w:p>
            <w:pPr>
              <w:spacing w:line="360" w:lineRule="auto"/>
              <w:ind w:firstLine="480" w:firstLineChars="200"/>
              <w:rPr>
                <w:color w:val="auto"/>
                <w:sz w:val="24"/>
              </w:rPr>
            </w:pPr>
            <w:r>
              <w:rPr>
                <w:color w:val="auto"/>
                <w:sz w:val="24"/>
              </w:rPr>
              <w:t>根据项目所在地生态分布图，本项目永久占地、施工场地、临时堆料场等临时占地均不涉及重点生态功能区。在采取本环评提出的要求后，本项目对区域功能区的影响较小。</w:t>
            </w:r>
          </w:p>
          <w:p>
            <w:pPr>
              <w:spacing w:line="360" w:lineRule="auto"/>
              <w:ind w:firstLine="482" w:firstLineChars="200"/>
              <w:rPr>
                <w:b/>
                <w:bCs/>
                <w:color w:val="auto"/>
                <w:sz w:val="24"/>
              </w:rPr>
            </w:pPr>
            <w:r>
              <w:rPr>
                <w:b/>
                <w:bCs/>
                <w:color w:val="auto"/>
                <w:sz w:val="24"/>
              </w:rPr>
              <w:t>（2）生态功能区划</w:t>
            </w:r>
          </w:p>
          <w:p>
            <w:pPr>
              <w:spacing w:line="360" w:lineRule="auto"/>
              <w:ind w:firstLine="480" w:firstLineChars="200"/>
              <w:rPr>
                <w:color w:val="auto"/>
                <w:sz w:val="24"/>
              </w:rPr>
            </w:pPr>
            <w:r>
              <w:rPr>
                <w:color w:val="auto"/>
                <w:sz w:val="24"/>
              </w:rPr>
              <w:t>本项目位于广元市朝天区朝天镇。</w:t>
            </w:r>
          </w:p>
          <w:p>
            <w:pPr>
              <w:spacing w:line="360" w:lineRule="auto"/>
              <w:ind w:firstLine="480" w:firstLineChars="200"/>
              <w:rPr>
                <w:color w:val="auto"/>
                <w:sz w:val="24"/>
              </w:rPr>
            </w:pPr>
            <w:r>
              <w:rPr>
                <w:color w:val="auto"/>
                <w:sz w:val="24"/>
              </w:rPr>
              <w:t>根据《四川省生态功能区划》和《四川省生态功能区划三级区特征一览表》，项目评价区所处生态功能区划是：</w:t>
            </w:r>
          </w:p>
          <w:p>
            <w:pPr>
              <w:spacing w:line="360" w:lineRule="auto"/>
              <w:ind w:firstLine="480" w:firstLineChars="200"/>
              <w:rPr>
                <w:color w:val="auto"/>
                <w:sz w:val="24"/>
              </w:rPr>
            </w:pPr>
            <w:r>
              <w:rPr>
                <w:color w:val="auto"/>
                <w:sz w:val="24"/>
              </w:rPr>
              <w:t>Ⅰ 四川盆地亚热带湿润气候生态区</w:t>
            </w:r>
          </w:p>
          <w:p>
            <w:pPr>
              <w:spacing w:line="360" w:lineRule="auto"/>
              <w:ind w:firstLine="480" w:firstLineChars="200"/>
              <w:rPr>
                <w:color w:val="auto"/>
                <w:sz w:val="24"/>
              </w:rPr>
            </w:pPr>
            <w:r>
              <w:rPr>
                <w:color w:val="auto"/>
                <w:sz w:val="24"/>
              </w:rPr>
              <w:t>Ⅰ-3盆北秦巴山地常绿阔叶林-针阔混交林生态亚区</w:t>
            </w:r>
          </w:p>
          <w:p>
            <w:pPr>
              <w:spacing w:line="360" w:lineRule="auto"/>
              <w:ind w:firstLine="480" w:firstLineChars="200"/>
              <w:rPr>
                <w:color w:val="auto"/>
                <w:sz w:val="24"/>
              </w:rPr>
            </w:pPr>
            <w:r>
              <w:rPr>
                <w:color w:val="auto"/>
                <w:sz w:val="24"/>
              </w:rPr>
              <w:t>Ⅰ-3-1米仓山水源涵养与生物多样性保护生态功能区</w:t>
            </w:r>
          </w:p>
          <w:p>
            <w:pPr>
              <w:spacing w:line="360" w:lineRule="auto"/>
              <w:ind w:firstLine="480" w:firstLineChars="200"/>
              <w:rPr>
                <w:color w:val="auto"/>
                <w:sz w:val="24"/>
              </w:rPr>
            </w:pPr>
            <w:r>
              <w:rPr>
                <w:color w:val="auto"/>
                <w:sz w:val="24"/>
              </w:rPr>
              <w:t xml:space="preserve">根据《四川省生态功能区划》： </w:t>
            </w:r>
          </w:p>
          <w:p>
            <w:pPr>
              <w:spacing w:line="360" w:lineRule="auto"/>
              <w:ind w:firstLine="482" w:firstLineChars="200"/>
              <w:rPr>
                <w:color w:val="auto"/>
                <w:sz w:val="24"/>
              </w:rPr>
            </w:pPr>
            <w:r>
              <w:rPr>
                <w:b/>
                <w:bCs/>
                <w:color w:val="auto"/>
                <w:sz w:val="24"/>
              </w:rPr>
              <w:t>①主要生态特征：</w:t>
            </w:r>
            <w:r>
              <w:rPr>
                <w:color w:val="auto"/>
                <w:sz w:val="24"/>
              </w:rPr>
              <w:t>中-低山地貌。年均气温13~16℃，≥10℃活动积温5100℃左右，年均降雨量900~1200毫米。河流主要属嘉陵江水系。森林植被主要为常绿阔叶林、针—阔混交林和亚高山常绿针叶林。生物多样性丰富。</w:t>
            </w:r>
          </w:p>
          <w:p>
            <w:pPr>
              <w:spacing w:line="360" w:lineRule="auto"/>
              <w:ind w:firstLine="482" w:firstLineChars="200"/>
              <w:rPr>
                <w:color w:val="auto"/>
                <w:sz w:val="24"/>
              </w:rPr>
            </w:pPr>
            <w:r>
              <w:rPr>
                <w:b/>
                <w:bCs/>
                <w:color w:val="auto"/>
                <w:sz w:val="24"/>
              </w:rPr>
              <w:t>②主要生态问题：</w:t>
            </w:r>
            <w:r>
              <w:rPr>
                <w:color w:val="auto"/>
                <w:sz w:val="24"/>
              </w:rPr>
              <w:t>多洪灾，滑坡崩塌强烈发育。</w:t>
            </w:r>
          </w:p>
          <w:p>
            <w:pPr>
              <w:spacing w:line="360" w:lineRule="auto"/>
              <w:ind w:firstLine="482" w:firstLineChars="200"/>
              <w:rPr>
                <w:color w:val="auto"/>
                <w:sz w:val="24"/>
              </w:rPr>
            </w:pPr>
            <w:r>
              <w:rPr>
                <w:b/>
                <w:bCs/>
                <w:color w:val="auto"/>
                <w:sz w:val="24"/>
              </w:rPr>
              <w:t>③生态环境敏感性：</w:t>
            </w:r>
            <w:r>
              <w:rPr>
                <w:color w:val="auto"/>
                <w:sz w:val="24"/>
              </w:rPr>
              <w:t>土壤侵蚀极敏感,野生动物生境极敏感。</w:t>
            </w:r>
          </w:p>
          <w:p>
            <w:pPr>
              <w:spacing w:line="360" w:lineRule="auto"/>
              <w:ind w:firstLine="482" w:firstLineChars="200"/>
              <w:rPr>
                <w:color w:val="auto"/>
                <w:sz w:val="24"/>
              </w:rPr>
            </w:pPr>
            <w:r>
              <w:rPr>
                <w:b/>
                <w:bCs/>
                <w:color w:val="auto"/>
                <w:sz w:val="24"/>
              </w:rPr>
              <w:t>④生态服务功能重要性：</w:t>
            </w:r>
            <w:r>
              <w:rPr>
                <w:color w:val="auto"/>
                <w:sz w:val="24"/>
              </w:rPr>
              <w:t>水源润养功能，生物多样性保护功能，土壤保持功能。</w:t>
            </w:r>
          </w:p>
          <w:p>
            <w:pPr>
              <w:spacing w:line="360" w:lineRule="auto"/>
              <w:ind w:firstLine="482" w:firstLineChars="200"/>
              <w:rPr>
                <w:color w:val="auto"/>
                <w:sz w:val="24"/>
              </w:rPr>
            </w:pPr>
            <w:r>
              <w:rPr>
                <w:b/>
                <w:bCs/>
                <w:color w:val="auto"/>
                <w:sz w:val="24"/>
              </w:rPr>
              <w:t>⑤生态保护及发展方向：</w:t>
            </w:r>
            <w:r>
              <w:rPr>
                <w:color w:val="auto"/>
                <w:sz w:val="24"/>
              </w:rPr>
              <w:t>保护森林植被和生物多样性，巩固长江上游防护林建设、天然林保护和退耕还林成果。调整农业产业结构，发挥山区优势，以林为主，发展林、农、牧多种经营，发展牛、羊等畜牧产业链。建设优质特色中药材和茶叶生产基地。科学合理开发自然资源，规范和严格管理矿产、水电、生物资源的开发，防止对生态环境和生态系统的不利影响。</w:t>
            </w:r>
          </w:p>
          <w:p>
            <w:pPr>
              <w:spacing w:line="360" w:lineRule="auto"/>
              <w:ind w:firstLine="480" w:firstLineChars="200"/>
              <w:rPr>
                <w:color w:val="auto"/>
                <w:sz w:val="24"/>
              </w:rPr>
            </w:pPr>
            <w:r>
              <w:rPr>
                <w:color w:val="auto"/>
                <w:sz w:val="24"/>
              </w:rPr>
              <w:t>本项目位于米仓山水源涵养与生物多样性保护生态功能区。项目主要进行河堤堤防建设，主要生态影响在施工期，在严格采取报告提出的土地复垦，迹地恢复措施、水生生态保护措施后，对区域生态环境影响较小。</w:t>
            </w:r>
          </w:p>
          <w:p>
            <w:pPr>
              <w:spacing w:line="360" w:lineRule="auto"/>
              <w:ind w:firstLine="482" w:firstLineChars="200"/>
              <w:rPr>
                <w:b/>
                <w:bCs/>
                <w:color w:val="auto"/>
                <w:sz w:val="24"/>
              </w:rPr>
            </w:pPr>
            <w:r>
              <w:rPr>
                <w:b/>
                <w:bCs/>
                <w:color w:val="auto"/>
                <w:sz w:val="24"/>
              </w:rPr>
              <w:t>2、评价范围</w:t>
            </w:r>
          </w:p>
          <w:p>
            <w:pPr>
              <w:spacing w:line="360" w:lineRule="auto"/>
              <w:ind w:firstLine="480" w:firstLineChars="200"/>
              <w:rPr>
                <w:color w:val="auto"/>
                <w:sz w:val="24"/>
              </w:rPr>
            </w:pPr>
            <w:r>
              <w:rPr>
                <w:color w:val="auto"/>
                <w:sz w:val="24"/>
              </w:rPr>
              <w:t>按照《环境影响评价技术导则生态影响》（HJ19-2022）的相关规定，结合工程以及保护区的实际情况，将保护区内工程中心线投影距离单侧2000m的区域，扩展范围为建设项目两侧第一重自然山脊范围内的区域确定为评价区。</w:t>
            </w:r>
          </w:p>
          <w:p>
            <w:pPr>
              <w:spacing w:line="360" w:lineRule="auto"/>
              <w:ind w:firstLine="480" w:firstLineChars="200"/>
              <w:rPr>
                <w:color w:val="auto"/>
                <w:sz w:val="24"/>
              </w:rPr>
            </w:pPr>
            <w:r>
              <w:rPr>
                <w:color w:val="auto"/>
                <w:sz w:val="24"/>
              </w:rPr>
              <w:t>工程以条带状分布于保护区实验区内，依据上述评价区划定标准，将保护区内新建工程中心线投影距离单侧2000m的区域，扩展范围为工程两侧第一重自然山脊范围内的区域确定为评价区。该工程生态影响评价区总面积844.2195hm</w:t>
            </w:r>
            <w:r>
              <w:rPr>
                <w:color w:val="auto"/>
                <w:sz w:val="24"/>
                <w:vertAlign w:val="superscript"/>
              </w:rPr>
              <w:t>2</w:t>
            </w:r>
            <w:r>
              <w:rPr>
                <w:color w:val="auto"/>
                <w:sz w:val="24"/>
              </w:rPr>
              <w:t>，海拔高度介于480-950m，均为四川嘉陵江源湿地市级自然保护区的实验区。</w:t>
            </w:r>
          </w:p>
          <w:p>
            <w:pPr>
              <w:pStyle w:val="63"/>
              <w:spacing w:line="360" w:lineRule="auto"/>
              <w:rPr>
                <w:color w:val="auto"/>
              </w:rPr>
            </w:pPr>
            <w:r>
              <w:rPr>
                <w:color w:val="auto"/>
              </w:rPr>
              <w:drawing>
                <wp:inline distT="0" distB="0" distL="114300" distR="114300">
                  <wp:extent cx="5662295" cy="3793490"/>
                  <wp:effectExtent l="0" t="0" r="14605" b="165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9"/>
                          <a:stretch>
                            <a:fillRect/>
                          </a:stretch>
                        </pic:blipFill>
                        <pic:spPr>
                          <a:xfrm>
                            <a:off x="0" y="0"/>
                            <a:ext cx="5662295" cy="3793490"/>
                          </a:xfrm>
                          <a:prstGeom prst="rect">
                            <a:avLst/>
                          </a:prstGeom>
                          <a:noFill/>
                          <a:ln>
                            <a:noFill/>
                          </a:ln>
                        </pic:spPr>
                      </pic:pic>
                    </a:graphicData>
                  </a:graphic>
                </wp:inline>
              </w:drawing>
            </w:r>
          </w:p>
          <w:p>
            <w:pPr>
              <w:numPr>
                <w:ilvl w:val="0"/>
                <w:numId w:val="9"/>
              </w:numPr>
              <w:spacing w:line="360" w:lineRule="auto"/>
              <w:jc w:val="center"/>
              <w:rPr>
                <w:b/>
                <w:color w:val="auto"/>
                <w:szCs w:val="21"/>
              </w:rPr>
            </w:pPr>
            <w:r>
              <w:rPr>
                <w:b/>
                <w:color w:val="auto"/>
                <w:szCs w:val="21"/>
              </w:rPr>
              <w:t xml:space="preserve"> 本项目与保护区位置关系图</w:t>
            </w:r>
          </w:p>
          <w:p>
            <w:pPr>
              <w:spacing w:line="360" w:lineRule="auto"/>
              <w:ind w:firstLine="482" w:firstLineChars="200"/>
              <w:rPr>
                <w:b/>
                <w:bCs/>
                <w:color w:val="auto"/>
                <w:sz w:val="24"/>
              </w:rPr>
            </w:pPr>
            <w:r>
              <w:rPr>
                <w:b/>
                <w:bCs/>
                <w:color w:val="auto"/>
                <w:sz w:val="24"/>
              </w:rPr>
              <w:t>3、自然资源现状</w:t>
            </w:r>
          </w:p>
          <w:p>
            <w:pPr>
              <w:spacing w:line="360" w:lineRule="auto"/>
              <w:ind w:firstLine="482" w:firstLineChars="200"/>
              <w:rPr>
                <w:b/>
                <w:bCs/>
                <w:color w:val="auto"/>
                <w:sz w:val="24"/>
              </w:rPr>
            </w:pPr>
            <w:r>
              <w:rPr>
                <w:b/>
                <w:bCs/>
                <w:color w:val="auto"/>
                <w:sz w:val="24"/>
              </w:rPr>
              <w:t>（1）土地资源</w:t>
            </w:r>
          </w:p>
          <w:p>
            <w:pPr>
              <w:spacing w:line="360" w:lineRule="auto"/>
              <w:ind w:firstLine="480" w:firstLineChars="200"/>
              <w:rPr>
                <w:color w:val="auto"/>
                <w:sz w:val="24"/>
              </w:rPr>
            </w:pPr>
            <w:r>
              <w:rPr>
                <w:color w:val="auto"/>
                <w:sz w:val="24"/>
              </w:rPr>
              <w:t>评价区土地总面积为844.2195hm</w:t>
            </w:r>
            <w:r>
              <w:rPr>
                <w:color w:val="auto"/>
                <w:sz w:val="24"/>
                <w:vertAlign w:val="superscript"/>
              </w:rPr>
              <w:t>2</w:t>
            </w:r>
            <w:r>
              <w:rPr>
                <w:color w:val="auto"/>
                <w:sz w:val="24"/>
              </w:rPr>
              <w:t>，其中有林地394.416hm</w:t>
            </w:r>
            <w:r>
              <w:rPr>
                <w:color w:val="auto"/>
                <w:sz w:val="24"/>
                <w:vertAlign w:val="superscript"/>
              </w:rPr>
              <w:t>2</w:t>
            </w:r>
            <w:r>
              <w:rPr>
                <w:color w:val="auto"/>
                <w:sz w:val="24"/>
              </w:rPr>
              <w:t>，灌丛地31.0323hm</w:t>
            </w:r>
            <w:r>
              <w:rPr>
                <w:color w:val="auto"/>
                <w:sz w:val="24"/>
                <w:vertAlign w:val="superscript"/>
              </w:rPr>
              <w:t>2</w:t>
            </w:r>
            <w:r>
              <w:rPr>
                <w:color w:val="auto"/>
                <w:sz w:val="24"/>
              </w:rPr>
              <w:t>，建设用地39.8661hm</w:t>
            </w:r>
            <w:r>
              <w:rPr>
                <w:color w:val="auto"/>
                <w:sz w:val="24"/>
                <w:vertAlign w:val="superscript"/>
              </w:rPr>
              <w:t>2</w:t>
            </w:r>
            <w:r>
              <w:rPr>
                <w:color w:val="auto"/>
                <w:sz w:val="24"/>
              </w:rPr>
              <w:t>（含交通用地、宅基地和村庄），水域43.3351 hm</w:t>
            </w:r>
            <w:r>
              <w:rPr>
                <w:color w:val="auto"/>
                <w:sz w:val="24"/>
                <w:vertAlign w:val="superscript"/>
              </w:rPr>
              <w:t>2</w:t>
            </w:r>
            <w:r>
              <w:rPr>
                <w:color w:val="auto"/>
                <w:sz w:val="24"/>
              </w:rPr>
              <w:t>，耕地335.57hm</w:t>
            </w:r>
            <w:r>
              <w:rPr>
                <w:color w:val="auto"/>
                <w:sz w:val="24"/>
                <w:vertAlign w:val="superscript"/>
              </w:rPr>
              <w:t>2</w:t>
            </w:r>
            <w:r>
              <w:rPr>
                <w:color w:val="auto"/>
                <w:sz w:val="24"/>
              </w:rPr>
              <w:t>。</w:t>
            </w:r>
          </w:p>
          <w:p>
            <w:pPr>
              <w:spacing w:line="360" w:lineRule="auto"/>
              <w:ind w:firstLine="480" w:firstLineChars="200"/>
              <w:rPr>
                <w:color w:val="auto"/>
                <w:sz w:val="24"/>
              </w:rPr>
            </w:pPr>
            <w:r>
              <w:rPr>
                <w:color w:val="auto"/>
                <w:sz w:val="24"/>
              </w:rPr>
              <w:t>评价区土壤主要为紫色土、新积土，有少量山地黄壤分布。</w:t>
            </w:r>
          </w:p>
          <w:p>
            <w:pPr>
              <w:spacing w:line="360" w:lineRule="auto"/>
              <w:ind w:firstLine="482" w:firstLineChars="200"/>
              <w:rPr>
                <w:b/>
                <w:bCs/>
                <w:color w:val="auto"/>
                <w:sz w:val="24"/>
              </w:rPr>
            </w:pPr>
            <w:r>
              <w:rPr>
                <w:b/>
                <w:bCs/>
                <w:color w:val="auto"/>
                <w:sz w:val="24"/>
              </w:rPr>
              <w:t>（2）水资源</w:t>
            </w:r>
          </w:p>
          <w:p>
            <w:pPr>
              <w:spacing w:line="360" w:lineRule="auto"/>
              <w:ind w:firstLine="480" w:firstLineChars="200"/>
              <w:rPr>
                <w:color w:val="auto"/>
                <w:sz w:val="24"/>
              </w:rPr>
            </w:pPr>
            <w:r>
              <w:rPr>
                <w:color w:val="auto"/>
                <w:sz w:val="24"/>
              </w:rPr>
              <w:t>评价区内有河流1条（羊木河），属长嘉陵江系，为常年流水性河流。</w:t>
            </w:r>
            <w:r>
              <w:rPr>
                <w:rFonts w:hint="eastAsia"/>
                <w:color w:val="auto"/>
                <w:sz w:val="24"/>
                <w:lang w:eastAsia="zh-CN"/>
              </w:rPr>
              <w:t>广坪河</w:t>
            </w:r>
            <w:r>
              <w:rPr>
                <w:color w:val="auto"/>
                <w:sz w:val="24"/>
              </w:rPr>
              <w:t>是嘉陵江水系右岸的一级支流，发源于甘肃省西河县境内，在四川省广元市朝天区朝天镇双河村汇入嘉陵江，主河道全长112km，全流域面积1189km² ，其中，省内流域面积455km²，主河道全长35km，平均比降2.14‰。甘肃﹑陕西两省境内流域面积734km²，流域河口高程486.00m，河口最枯流量20m³/s。</w:t>
            </w:r>
          </w:p>
          <w:p>
            <w:pPr>
              <w:spacing w:line="360" w:lineRule="auto"/>
              <w:ind w:firstLine="480" w:firstLineChars="200"/>
              <w:rPr>
                <w:color w:val="auto"/>
                <w:sz w:val="24"/>
              </w:rPr>
            </w:pPr>
            <w:r>
              <w:rPr>
                <w:rFonts w:hint="eastAsia"/>
                <w:color w:val="auto"/>
                <w:sz w:val="24"/>
                <w:lang w:eastAsia="zh-CN"/>
              </w:rPr>
              <w:t>广坪河</w:t>
            </w:r>
            <w:r>
              <w:rPr>
                <w:color w:val="auto"/>
                <w:sz w:val="24"/>
              </w:rPr>
              <w:t>所在嘉陵江流域位于东经102°30′～109°00′，北纬29°20′～34°30′之间。流域地势由北向南倾斜，右支涪江分水岭处得雪宝顶，为全流域最高峰，海拔5588m，嘉陵江昭化以上为上游，属于山区，海拔1000—4000m。上游山势陡峻，河流深切形成峡谷，河流湍急。</w:t>
            </w:r>
          </w:p>
          <w:p>
            <w:pPr>
              <w:spacing w:line="360" w:lineRule="auto"/>
              <w:ind w:firstLine="480" w:firstLineChars="200"/>
              <w:rPr>
                <w:color w:val="auto"/>
                <w:sz w:val="24"/>
              </w:rPr>
            </w:pPr>
            <w:r>
              <w:rPr>
                <w:rFonts w:hint="eastAsia"/>
                <w:color w:val="auto"/>
                <w:sz w:val="24"/>
                <w:lang w:val="en-US" w:eastAsia="zh-CN"/>
              </w:rPr>
              <w:t>本</w:t>
            </w:r>
            <w:r>
              <w:rPr>
                <w:color w:val="auto"/>
                <w:sz w:val="24"/>
              </w:rPr>
              <w:t>工程位于广元市朝天区</w:t>
            </w:r>
            <w:r>
              <w:rPr>
                <w:rFonts w:hint="eastAsia"/>
                <w:color w:val="auto"/>
                <w:sz w:val="24"/>
                <w:lang w:eastAsia="zh-CN"/>
              </w:rPr>
              <w:t>广坪河羊木段</w:t>
            </w:r>
            <w:r>
              <w:rPr>
                <w:color w:val="auto"/>
                <w:sz w:val="24"/>
              </w:rPr>
              <w:t>，工程河段以上控制集雨面积为</w:t>
            </w:r>
            <w:r>
              <w:rPr>
                <w:rFonts w:hint="eastAsia"/>
                <w:color w:val="auto"/>
                <w:sz w:val="24"/>
                <w:lang w:eastAsia="zh-CN"/>
              </w:rPr>
              <w:t>1189km²，</w:t>
            </w:r>
            <w:r>
              <w:rPr>
                <w:color w:val="auto"/>
                <w:sz w:val="24"/>
              </w:rPr>
              <w:t>主河道全长112km，平均比降2.14‰。</w:t>
            </w:r>
          </w:p>
          <w:p>
            <w:pPr>
              <w:spacing w:line="360" w:lineRule="auto"/>
              <w:jc w:val="center"/>
              <w:rPr>
                <w:color w:val="auto"/>
              </w:rPr>
            </w:pPr>
            <w:r>
              <w:rPr>
                <w:color w:val="auto"/>
              </w:rPr>
              <w:drawing>
                <wp:inline distT="0" distB="0" distL="114300" distR="114300">
                  <wp:extent cx="5417185" cy="7402195"/>
                  <wp:effectExtent l="0" t="0" r="12065" b="825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0"/>
                          <a:stretch>
                            <a:fillRect/>
                          </a:stretch>
                        </pic:blipFill>
                        <pic:spPr>
                          <a:xfrm>
                            <a:off x="0" y="0"/>
                            <a:ext cx="5417185" cy="7402195"/>
                          </a:xfrm>
                          <a:prstGeom prst="rect">
                            <a:avLst/>
                          </a:prstGeom>
                          <a:noFill/>
                          <a:ln>
                            <a:noFill/>
                          </a:ln>
                        </pic:spPr>
                      </pic:pic>
                    </a:graphicData>
                  </a:graphic>
                </wp:inline>
              </w:drawing>
            </w:r>
          </w:p>
          <w:p>
            <w:pPr>
              <w:numPr>
                <w:ilvl w:val="0"/>
                <w:numId w:val="9"/>
              </w:numPr>
              <w:spacing w:line="360" w:lineRule="auto"/>
              <w:jc w:val="center"/>
              <w:rPr>
                <w:b/>
                <w:color w:val="auto"/>
                <w:szCs w:val="21"/>
              </w:rPr>
            </w:pPr>
            <w:r>
              <w:rPr>
                <w:b/>
                <w:color w:val="auto"/>
                <w:szCs w:val="21"/>
              </w:rPr>
              <w:t xml:space="preserve"> 评价区土地利用现状及水系图</w:t>
            </w:r>
          </w:p>
          <w:p>
            <w:pPr>
              <w:spacing w:line="360" w:lineRule="auto"/>
              <w:ind w:firstLine="482" w:firstLineChars="200"/>
              <w:rPr>
                <w:b/>
                <w:bCs/>
                <w:color w:val="auto"/>
                <w:sz w:val="24"/>
              </w:rPr>
            </w:pPr>
            <w:r>
              <w:rPr>
                <w:b/>
                <w:bCs/>
                <w:color w:val="auto"/>
                <w:sz w:val="24"/>
              </w:rPr>
              <w:t>4、陆生生态环境现状调查</w:t>
            </w:r>
          </w:p>
          <w:p>
            <w:pPr>
              <w:spacing w:line="360" w:lineRule="auto"/>
              <w:ind w:firstLine="482" w:firstLineChars="200"/>
              <w:rPr>
                <w:b/>
                <w:bCs/>
                <w:color w:val="auto"/>
                <w:sz w:val="24"/>
              </w:rPr>
            </w:pPr>
            <w:r>
              <w:rPr>
                <w:b/>
                <w:bCs/>
                <w:color w:val="auto"/>
                <w:sz w:val="24"/>
              </w:rPr>
              <w:t>（1）野生植物资源</w:t>
            </w:r>
          </w:p>
          <w:p>
            <w:pPr>
              <w:spacing w:line="360" w:lineRule="auto"/>
              <w:ind w:firstLine="482" w:firstLineChars="200"/>
              <w:rPr>
                <w:b/>
                <w:bCs/>
                <w:color w:val="auto"/>
                <w:sz w:val="24"/>
              </w:rPr>
            </w:pPr>
            <w:r>
              <w:rPr>
                <w:b/>
                <w:bCs/>
                <w:color w:val="auto"/>
                <w:sz w:val="24"/>
              </w:rPr>
              <w:t>①植物组成</w:t>
            </w:r>
          </w:p>
          <w:p>
            <w:pPr>
              <w:spacing w:line="360" w:lineRule="auto"/>
              <w:ind w:firstLine="480" w:firstLineChars="200"/>
              <w:rPr>
                <w:color w:val="auto"/>
                <w:sz w:val="24"/>
              </w:rPr>
            </w:pPr>
            <w:r>
              <w:rPr>
                <w:color w:val="auto"/>
                <w:sz w:val="24"/>
              </w:rPr>
              <w:t>根据野外考察记录、野外考察采集的植物标本和拍摄照片鉴定结果，并结合考察区域的植被资料，对评价区的维管束植物种类做详细的生物多样性编目，确认影响区共有维管束植物194种（包括一些重要的种下分类单位）。其中，蕨类植物有13科20属27种；裸子植物2科3属3种；被子植物52科135属164种，以毛茛科（Ranunculaceae，6种）、豆科（Leguminnoseae，9种）、禾本科（Gramineae，13种）、蔷薇科（Rosaceae，12种）和菊科（Compositae，17种）等少数几个科种类较多。</w:t>
            </w:r>
          </w:p>
          <w:p>
            <w:pPr>
              <w:widowControl/>
              <w:numPr>
                <w:ilvl w:val="0"/>
                <w:numId w:val="8"/>
              </w:numPr>
              <w:adjustRightInd w:val="0"/>
              <w:snapToGrid w:val="0"/>
              <w:jc w:val="center"/>
              <w:rPr>
                <w:b/>
                <w:color w:val="auto"/>
                <w:szCs w:val="18"/>
              </w:rPr>
            </w:pPr>
            <w:r>
              <w:rPr>
                <w:b/>
                <w:color w:val="auto"/>
                <w:szCs w:val="18"/>
              </w:rPr>
              <w:t>影响评价区植物组成统计表</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602"/>
              <w:gridCol w:w="1232"/>
              <w:gridCol w:w="581"/>
              <w:gridCol w:w="1209"/>
              <w:gridCol w:w="1209"/>
              <w:gridCol w:w="1209"/>
              <w:gridCol w:w="1209"/>
              <w:gridCol w:w="12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1083" w:type="pct"/>
                  <w:gridSpan w:val="2"/>
                  <w:vAlign w:val="center"/>
                </w:tcPr>
                <w:p>
                  <w:pPr>
                    <w:pStyle w:val="80"/>
                    <w:rPr>
                      <w:color w:val="auto"/>
                      <w:kern w:val="0"/>
                      <w:sz w:val="21"/>
                      <w:szCs w:val="21"/>
                    </w:rPr>
                  </w:pPr>
                  <w:r>
                    <w:rPr>
                      <w:color w:val="auto"/>
                      <w:kern w:val="0"/>
                      <w:sz w:val="21"/>
                      <w:szCs w:val="21"/>
                    </w:rPr>
                    <w:t>门类</w:t>
                  </w:r>
                </w:p>
              </w:tc>
              <w:tc>
                <w:tcPr>
                  <w:tcW w:w="344" w:type="pct"/>
                  <w:vAlign w:val="center"/>
                </w:tcPr>
                <w:p>
                  <w:pPr>
                    <w:pStyle w:val="80"/>
                    <w:rPr>
                      <w:color w:val="auto"/>
                      <w:sz w:val="21"/>
                      <w:szCs w:val="21"/>
                    </w:rPr>
                  </w:pPr>
                  <w:r>
                    <w:rPr>
                      <w:color w:val="auto"/>
                      <w:sz w:val="21"/>
                      <w:szCs w:val="21"/>
                    </w:rPr>
                    <w:t>科数</w:t>
                  </w:r>
                </w:p>
              </w:tc>
              <w:tc>
                <w:tcPr>
                  <w:tcW w:w="713" w:type="pct"/>
                  <w:vAlign w:val="center"/>
                </w:tcPr>
                <w:p>
                  <w:pPr>
                    <w:pStyle w:val="80"/>
                    <w:rPr>
                      <w:color w:val="auto"/>
                      <w:sz w:val="21"/>
                      <w:szCs w:val="21"/>
                    </w:rPr>
                  </w:pPr>
                  <w:r>
                    <w:rPr>
                      <w:color w:val="auto"/>
                      <w:sz w:val="21"/>
                      <w:szCs w:val="21"/>
                    </w:rPr>
                    <w:t>所占比例%</w:t>
                  </w:r>
                </w:p>
              </w:tc>
              <w:tc>
                <w:tcPr>
                  <w:tcW w:w="713" w:type="pct"/>
                  <w:vAlign w:val="center"/>
                </w:tcPr>
                <w:p>
                  <w:pPr>
                    <w:pStyle w:val="80"/>
                    <w:rPr>
                      <w:color w:val="auto"/>
                      <w:sz w:val="21"/>
                      <w:szCs w:val="21"/>
                    </w:rPr>
                  </w:pPr>
                  <w:r>
                    <w:rPr>
                      <w:color w:val="auto"/>
                      <w:sz w:val="21"/>
                      <w:szCs w:val="21"/>
                    </w:rPr>
                    <w:t>属数</w:t>
                  </w:r>
                </w:p>
              </w:tc>
              <w:tc>
                <w:tcPr>
                  <w:tcW w:w="713" w:type="pct"/>
                  <w:vAlign w:val="center"/>
                </w:tcPr>
                <w:p>
                  <w:pPr>
                    <w:pStyle w:val="80"/>
                    <w:rPr>
                      <w:color w:val="auto"/>
                      <w:sz w:val="21"/>
                      <w:szCs w:val="21"/>
                    </w:rPr>
                  </w:pPr>
                  <w:r>
                    <w:rPr>
                      <w:color w:val="auto"/>
                      <w:sz w:val="21"/>
                      <w:szCs w:val="21"/>
                    </w:rPr>
                    <w:t>所占比例%</w:t>
                  </w:r>
                </w:p>
              </w:tc>
              <w:tc>
                <w:tcPr>
                  <w:tcW w:w="713" w:type="pct"/>
                  <w:vAlign w:val="center"/>
                </w:tcPr>
                <w:p>
                  <w:pPr>
                    <w:pStyle w:val="80"/>
                    <w:rPr>
                      <w:color w:val="auto"/>
                      <w:sz w:val="21"/>
                      <w:szCs w:val="21"/>
                    </w:rPr>
                  </w:pPr>
                  <w:r>
                    <w:rPr>
                      <w:color w:val="auto"/>
                      <w:sz w:val="21"/>
                      <w:szCs w:val="21"/>
                    </w:rPr>
                    <w:t>种数</w:t>
                  </w:r>
                </w:p>
              </w:tc>
              <w:tc>
                <w:tcPr>
                  <w:tcW w:w="716" w:type="pct"/>
                  <w:vAlign w:val="center"/>
                </w:tcPr>
                <w:p>
                  <w:pPr>
                    <w:pStyle w:val="80"/>
                    <w:rPr>
                      <w:color w:val="auto"/>
                      <w:sz w:val="21"/>
                      <w:szCs w:val="21"/>
                    </w:rPr>
                  </w:pPr>
                  <w:r>
                    <w:rPr>
                      <w:color w:val="auto"/>
                      <w:sz w:val="21"/>
                      <w:szCs w:val="21"/>
                    </w:rPr>
                    <w:t>所占比例%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083" w:type="pct"/>
                  <w:gridSpan w:val="2"/>
                  <w:vAlign w:val="center"/>
                </w:tcPr>
                <w:p>
                  <w:pPr>
                    <w:widowControl/>
                    <w:jc w:val="center"/>
                    <w:textAlignment w:val="center"/>
                    <w:rPr>
                      <w:color w:val="auto"/>
                      <w:szCs w:val="21"/>
                    </w:rPr>
                  </w:pPr>
                  <w:r>
                    <w:rPr>
                      <w:color w:val="auto"/>
                      <w:szCs w:val="21"/>
                    </w:rPr>
                    <w:t>蕨类植物</w:t>
                  </w:r>
                </w:p>
              </w:tc>
              <w:tc>
                <w:tcPr>
                  <w:tcW w:w="344" w:type="pct"/>
                  <w:vAlign w:val="center"/>
                </w:tcPr>
                <w:p>
                  <w:pPr>
                    <w:widowControl/>
                    <w:jc w:val="center"/>
                    <w:textAlignment w:val="center"/>
                    <w:rPr>
                      <w:color w:val="auto"/>
                      <w:szCs w:val="21"/>
                    </w:rPr>
                  </w:pPr>
                  <w:r>
                    <w:rPr>
                      <w:color w:val="auto"/>
                      <w:szCs w:val="21"/>
                    </w:rPr>
                    <w:t>13</w:t>
                  </w:r>
                </w:p>
              </w:tc>
              <w:tc>
                <w:tcPr>
                  <w:tcW w:w="713" w:type="pct"/>
                  <w:vAlign w:val="center"/>
                </w:tcPr>
                <w:p>
                  <w:pPr>
                    <w:widowControl/>
                    <w:jc w:val="center"/>
                    <w:textAlignment w:val="center"/>
                    <w:rPr>
                      <w:color w:val="auto"/>
                      <w:szCs w:val="21"/>
                      <w:lang w:bidi="ar"/>
                    </w:rPr>
                  </w:pPr>
                  <w:r>
                    <w:rPr>
                      <w:color w:val="auto"/>
                      <w:szCs w:val="21"/>
                      <w:lang w:bidi="ar"/>
                    </w:rPr>
                    <w:t>19.40</w:t>
                  </w:r>
                </w:p>
              </w:tc>
              <w:tc>
                <w:tcPr>
                  <w:tcW w:w="713" w:type="pct"/>
                  <w:vAlign w:val="center"/>
                </w:tcPr>
                <w:p>
                  <w:pPr>
                    <w:widowControl/>
                    <w:jc w:val="center"/>
                    <w:textAlignment w:val="center"/>
                    <w:rPr>
                      <w:color w:val="auto"/>
                      <w:szCs w:val="21"/>
                      <w:lang w:bidi="ar"/>
                    </w:rPr>
                  </w:pPr>
                  <w:r>
                    <w:rPr>
                      <w:color w:val="auto"/>
                      <w:szCs w:val="21"/>
                      <w:lang w:bidi="ar"/>
                    </w:rPr>
                    <w:t>20</w:t>
                  </w:r>
                </w:p>
              </w:tc>
              <w:tc>
                <w:tcPr>
                  <w:tcW w:w="713" w:type="pct"/>
                  <w:vAlign w:val="center"/>
                </w:tcPr>
                <w:p>
                  <w:pPr>
                    <w:widowControl/>
                    <w:jc w:val="center"/>
                    <w:textAlignment w:val="center"/>
                    <w:rPr>
                      <w:color w:val="auto"/>
                      <w:szCs w:val="21"/>
                    </w:rPr>
                  </w:pPr>
                  <w:r>
                    <w:rPr>
                      <w:color w:val="auto"/>
                      <w:szCs w:val="21"/>
                    </w:rPr>
                    <w:t>12.66</w:t>
                  </w:r>
                </w:p>
              </w:tc>
              <w:tc>
                <w:tcPr>
                  <w:tcW w:w="713" w:type="pct"/>
                  <w:vAlign w:val="center"/>
                </w:tcPr>
                <w:p>
                  <w:pPr>
                    <w:widowControl/>
                    <w:jc w:val="center"/>
                    <w:textAlignment w:val="center"/>
                    <w:rPr>
                      <w:color w:val="auto"/>
                      <w:szCs w:val="21"/>
                    </w:rPr>
                  </w:pPr>
                  <w:r>
                    <w:rPr>
                      <w:color w:val="auto"/>
                      <w:szCs w:val="21"/>
                    </w:rPr>
                    <w:t>27</w:t>
                  </w:r>
                </w:p>
              </w:tc>
              <w:tc>
                <w:tcPr>
                  <w:tcW w:w="716" w:type="pct"/>
                  <w:vAlign w:val="center"/>
                </w:tcPr>
                <w:p>
                  <w:pPr>
                    <w:widowControl/>
                    <w:jc w:val="center"/>
                    <w:textAlignment w:val="center"/>
                    <w:rPr>
                      <w:color w:val="auto"/>
                      <w:szCs w:val="21"/>
                    </w:rPr>
                  </w:pPr>
                  <w:r>
                    <w:rPr>
                      <w:color w:val="auto"/>
                      <w:szCs w:val="21"/>
                    </w:rPr>
                    <w:t>13.92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56" w:type="pct"/>
                  <w:vMerge w:val="restart"/>
                  <w:vAlign w:val="center"/>
                </w:tcPr>
                <w:p>
                  <w:pPr>
                    <w:widowControl/>
                    <w:jc w:val="center"/>
                    <w:textAlignment w:val="center"/>
                    <w:rPr>
                      <w:color w:val="auto"/>
                      <w:szCs w:val="21"/>
                    </w:rPr>
                  </w:pPr>
                  <w:r>
                    <w:rPr>
                      <w:color w:val="auto"/>
                      <w:szCs w:val="21"/>
                    </w:rPr>
                    <w:t>种子植物</w:t>
                  </w:r>
                </w:p>
              </w:tc>
              <w:tc>
                <w:tcPr>
                  <w:tcW w:w="727" w:type="pct"/>
                  <w:vAlign w:val="center"/>
                </w:tcPr>
                <w:p>
                  <w:pPr>
                    <w:widowControl/>
                    <w:jc w:val="center"/>
                    <w:textAlignment w:val="center"/>
                    <w:rPr>
                      <w:color w:val="auto"/>
                      <w:szCs w:val="21"/>
                    </w:rPr>
                  </w:pPr>
                  <w:r>
                    <w:rPr>
                      <w:color w:val="auto"/>
                      <w:szCs w:val="21"/>
                    </w:rPr>
                    <w:t>裸子植物</w:t>
                  </w:r>
                </w:p>
              </w:tc>
              <w:tc>
                <w:tcPr>
                  <w:tcW w:w="344" w:type="pct"/>
                  <w:vAlign w:val="center"/>
                </w:tcPr>
                <w:p>
                  <w:pPr>
                    <w:widowControl/>
                    <w:jc w:val="center"/>
                    <w:textAlignment w:val="center"/>
                    <w:rPr>
                      <w:color w:val="auto"/>
                      <w:szCs w:val="21"/>
                    </w:rPr>
                  </w:pPr>
                  <w:r>
                    <w:rPr>
                      <w:color w:val="auto"/>
                      <w:szCs w:val="21"/>
                    </w:rPr>
                    <w:t>2</w:t>
                  </w:r>
                </w:p>
              </w:tc>
              <w:tc>
                <w:tcPr>
                  <w:tcW w:w="713" w:type="pct"/>
                  <w:vAlign w:val="center"/>
                </w:tcPr>
                <w:p>
                  <w:pPr>
                    <w:widowControl/>
                    <w:jc w:val="center"/>
                    <w:textAlignment w:val="center"/>
                    <w:rPr>
                      <w:color w:val="auto"/>
                      <w:szCs w:val="21"/>
                    </w:rPr>
                  </w:pPr>
                  <w:r>
                    <w:rPr>
                      <w:color w:val="auto"/>
                      <w:szCs w:val="21"/>
                    </w:rPr>
                    <w:t>2.99</w:t>
                  </w:r>
                </w:p>
              </w:tc>
              <w:tc>
                <w:tcPr>
                  <w:tcW w:w="713" w:type="pct"/>
                  <w:vAlign w:val="center"/>
                </w:tcPr>
                <w:p>
                  <w:pPr>
                    <w:widowControl/>
                    <w:jc w:val="center"/>
                    <w:textAlignment w:val="center"/>
                    <w:rPr>
                      <w:color w:val="auto"/>
                      <w:szCs w:val="21"/>
                    </w:rPr>
                  </w:pPr>
                  <w:r>
                    <w:rPr>
                      <w:color w:val="auto"/>
                      <w:szCs w:val="21"/>
                    </w:rPr>
                    <w:t>3</w:t>
                  </w:r>
                </w:p>
              </w:tc>
              <w:tc>
                <w:tcPr>
                  <w:tcW w:w="713" w:type="pct"/>
                  <w:vAlign w:val="center"/>
                </w:tcPr>
                <w:p>
                  <w:pPr>
                    <w:widowControl/>
                    <w:jc w:val="center"/>
                    <w:textAlignment w:val="center"/>
                    <w:rPr>
                      <w:color w:val="auto"/>
                      <w:szCs w:val="21"/>
                    </w:rPr>
                  </w:pPr>
                  <w:r>
                    <w:rPr>
                      <w:color w:val="auto"/>
                      <w:szCs w:val="21"/>
                    </w:rPr>
                    <w:t>1.90</w:t>
                  </w:r>
                </w:p>
              </w:tc>
              <w:tc>
                <w:tcPr>
                  <w:tcW w:w="713" w:type="pct"/>
                  <w:vAlign w:val="center"/>
                </w:tcPr>
                <w:p>
                  <w:pPr>
                    <w:widowControl/>
                    <w:jc w:val="center"/>
                    <w:textAlignment w:val="center"/>
                    <w:rPr>
                      <w:color w:val="auto"/>
                      <w:szCs w:val="21"/>
                    </w:rPr>
                  </w:pPr>
                  <w:r>
                    <w:rPr>
                      <w:color w:val="auto"/>
                      <w:szCs w:val="21"/>
                    </w:rPr>
                    <w:t>3</w:t>
                  </w:r>
                </w:p>
              </w:tc>
              <w:tc>
                <w:tcPr>
                  <w:tcW w:w="716" w:type="pct"/>
                  <w:vAlign w:val="center"/>
                </w:tcPr>
                <w:p>
                  <w:pPr>
                    <w:widowControl/>
                    <w:jc w:val="center"/>
                    <w:textAlignment w:val="center"/>
                    <w:rPr>
                      <w:color w:val="auto"/>
                      <w:szCs w:val="21"/>
                    </w:rPr>
                  </w:pPr>
                  <w:r>
                    <w:rPr>
                      <w:color w:val="auto"/>
                      <w:szCs w:val="21"/>
                    </w:rPr>
                    <w:t>1.55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356" w:type="pct"/>
                  <w:vMerge w:val="continue"/>
                  <w:vAlign w:val="center"/>
                </w:tcPr>
                <w:p>
                  <w:pPr>
                    <w:widowControl/>
                    <w:jc w:val="center"/>
                    <w:textAlignment w:val="center"/>
                    <w:rPr>
                      <w:color w:val="auto"/>
                      <w:szCs w:val="21"/>
                    </w:rPr>
                  </w:pPr>
                </w:p>
              </w:tc>
              <w:tc>
                <w:tcPr>
                  <w:tcW w:w="727" w:type="pct"/>
                  <w:vAlign w:val="center"/>
                </w:tcPr>
                <w:p>
                  <w:pPr>
                    <w:widowControl/>
                    <w:jc w:val="center"/>
                    <w:textAlignment w:val="center"/>
                    <w:rPr>
                      <w:color w:val="auto"/>
                      <w:szCs w:val="21"/>
                    </w:rPr>
                  </w:pPr>
                  <w:r>
                    <w:rPr>
                      <w:color w:val="auto"/>
                      <w:szCs w:val="21"/>
                    </w:rPr>
                    <w:t>被子植物</w:t>
                  </w:r>
                </w:p>
              </w:tc>
              <w:tc>
                <w:tcPr>
                  <w:tcW w:w="344" w:type="pct"/>
                  <w:vAlign w:val="center"/>
                </w:tcPr>
                <w:p>
                  <w:pPr>
                    <w:widowControl/>
                    <w:jc w:val="center"/>
                    <w:textAlignment w:val="center"/>
                    <w:rPr>
                      <w:color w:val="auto"/>
                      <w:szCs w:val="21"/>
                    </w:rPr>
                  </w:pPr>
                  <w:r>
                    <w:rPr>
                      <w:color w:val="auto"/>
                      <w:szCs w:val="21"/>
                    </w:rPr>
                    <w:t>52</w:t>
                  </w:r>
                </w:p>
              </w:tc>
              <w:tc>
                <w:tcPr>
                  <w:tcW w:w="713" w:type="pct"/>
                  <w:vAlign w:val="center"/>
                </w:tcPr>
                <w:p>
                  <w:pPr>
                    <w:widowControl/>
                    <w:jc w:val="center"/>
                    <w:textAlignment w:val="center"/>
                    <w:rPr>
                      <w:color w:val="auto"/>
                      <w:szCs w:val="21"/>
                    </w:rPr>
                  </w:pPr>
                  <w:r>
                    <w:rPr>
                      <w:color w:val="auto"/>
                      <w:szCs w:val="21"/>
                    </w:rPr>
                    <w:t>77.61</w:t>
                  </w:r>
                </w:p>
              </w:tc>
              <w:tc>
                <w:tcPr>
                  <w:tcW w:w="713" w:type="pct"/>
                  <w:vAlign w:val="center"/>
                </w:tcPr>
                <w:p>
                  <w:pPr>
                    <w:widowControl/>
                    <w:jc w:val="center"/>
                    <w:textAlignment w:val="center"/>
                    <w:rPr>
                      <w:color w:val="auto"/>
                      <w:szCs w:val="21"/>
                    </w:rPr>
                  </w:pPr>
                  <w:r>
                    <w:rPr>
                      <w:color w:val="auto"/>
                      <w:szCs w:val="21"/>
                    </w:rPr>
                    <w:t>135</w:t>
                  </w:r>
                </w:p>
              </w:tc>
              <w:tc>
                <w:tcPr>
                  <w:tcW w:w="713" w:type="pct"/>
                  <w:vAlign w:val="center"/>
                </w:tcPr>
                <w:p>
                  <w:pPr>
                    <w:widowControl/>
                    <w:jc w:val="center"/>
                    <w:textAlignment w:val="center"/>
                    <w:rPr>
                      <w:color w:val="auto"/>
                      <w:szCs w:val="21"/>
                    </w:rPr>
                  </w:pPr>
                  <w:r>
                    <w:rPr>
                      <w:color w:val="auto"/>
                      <w:szCs w:val="21"/>
                    </w:rPr>
                    <w:t>85.44</w:t>
                  </w:r>
                </w:p>
              </w:tc>
              <w:tc>
                <w:tcPr>
                  <w:tcW w:w="713" w:type="pct"/>
                  <w:vAlign w:val="center"/>
                </w:tcPr>
                <w:p>
                  <w:pPr>
                    <w:widowControl/>
                    <w:jc w:val="center"/>
                    <w:textAlignment w:val="center"/>
                    <w:rPr>
                      <w:color w:val="auto"/>
                      <w:szCs w:val="21"/>
                    </w:rPr>
                  </w:pPr>
                  <w:r>
                    <w:rPr>
                      <w:color w:val="auto"/>
                      <w:szCs w:val="21"/>
                    </w:rPr>
                    <w:t>164</w:t>
                  </w:r>
                </w:p>
              </w:tc>
              <w:tc>
                <w:tcPr>
                  <w:tcW w:w="716" w:type="pct"/>
                  <w:vAlign w:val="center"/>
                </w:tcPr>
                <w:p>
                  <w:pPr>
                    <w:widowControl/>
                    <w:jc w:val="center"/>
                    <w:textAlignment w:val="center"/>
                    <w:rPr>
                      <w:color w:val="auto"/>
                      <w:szCs w:val="21"/>
                    </w:rPr>
                  </w:pPr>
                  <w:r>
                    <w:rPr>
                      <w:color w:val="auto"/>
                      <w:szCs w:val="21"/>
                    </w:rPr>
                    <w:t>84.54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083" w:type="pct"/>
                  <w:gridSpan w:val="2"/>
                  <w:vAlign w:val="center"/>
                </w:tcPr>
                <w:p>
                  <w:pPr>
                    <w:widowControl/>
                    <w:jc w:val="center"/>
                    <w:textAlignment w:val="center"/>
                    <w:rPr>
                      <w:color w:val="auto"/>
                      <w:szCs w:val="21"/>
                    </w:rPr>
                  </w:pPr>
                  <w:r>
                    <w:rPr>
                      <w:color w:val="auto"/>
                      <w:szCs w:val="21"/>
                    </w:rPr>
                    <w:t>合计</w:t>
                  </w:r>
                </w:p>
              </w:tc>
              <w:tc>
                <w:tcPr>
                  <w:tcW w:w="344" w:type="pct"/>
                  <w:vAlign w:val="center"/>
                </w:tcPr>
                <w:p>
                  <w:pPr>
                    <w:widowControl/>
                    <w:jc w:val="center"/>
                    <w:textAlignment w:val="center"/>
                    <w:rPr>
                      <w:color w:val="auto"/>
                      <w:szCs w:val="21"/>
                    </w:rPr>
                  </w:pPr>
                  <w:r>
                    <w:rPr>
                      <w:color w:val="auto"/>
                      <w:szCs w:val="21"/>
                    </w:rPr>
                    <w:t>67</w:t>
                  </w:r>
                </w:p>
              </w:tc>
              <w:tc>
                <w:tcPr>
                  <w:tcW w:w="713" w:type="pct"/>
                  <w:vAlign w:val="center"/>
                </w:tcPr>
                <w:p>
                  <w:pPr>
                    <w:widowControl/>
                    <w:jc w:val="center"/>
                    <w:textAlignment w:val="center"/>
                    <w:rPr>
                      <w:color w:val="auto"/>
                      <w:szCs w:val="21"/>
                    </w:rPr>
                  </w:pPr>
                  <w:r>
                    <w:rPr>
                      <w:color w:val="auto"/>
                      <w:szCs w:val="21"/>
                    </w:rPr>
                    <w:t>100</w:t>
                  </w:r>
                </w:p>
              </w:tc>
              <w:tc>
                <w:tcPr>
                  <w:tcW w:w="713" w:type="pct"/>
                  <w:vAlign w:val="center"/>
                </w:tcPr>
                <w:p>
                  <w:pPr>
                    <w:widowControl/>
                    <w:jc w:val="center"/>
                    <w:textAlignment w:val="center"/>
                    <w:rPr>
                      <w:color w:val="auto"/>
                      <w:szCs w:val="21"/>
                    </w:rPr>
                  </w:pPr>
                  <w:r>
                    <w:rPr>
                      <w:color w:val="auto"/>
                      <w:szCs w:val="21"/>
                    </w:rPr>
                    <w:t>158</w:t>
                  </w:r>
                </w:p>
              </w:tc>
              <w:tc>
                <w:tcPr>
                  <w:tcW w:w="713" w:type="pct"/>
                  <w:vAlign w:val="center"/>
                </w:tcPr>
                <w:p>
                  <w:pPr>
                    <w:widowControl/>
                    <w:jc w:val="center"/>
                    <w:textAlignment w:val="center"/>
                    <w:rPr>
                      <w:color w:val="auto"/>
                      <w:szCs w:val="21"/>
                    </w:rPr>
                  </w:pPr>
                  <w:r>
                    <w:rPr>
                      <w:color w:val="auto"/>
                      <w:szCs w:val="21"/>
                    </w:rPr>
                    <w:t>100</w:t>
                  </w:r>
                </w:p>
              </w:tc>
              <w:tc>
                <w:tcPr>
                  <w:tcW w:w="713" w:type="pct"/>
                  <w:vAlign w:val="center"/>
                </w:tcPr>
                <w:p>
                  <w:pPr>
                    <w:widowControl/>
                    <w:jc w:val="center"/>
                    <w:textAlignment w:val="center"/>
                    <w:rPr>
                      <w:color w:val="auto"/>
                      <w:szCs w:val="21"/>
                    </w:rPr>
                  </w:pPr>
                  <w:r>
                    <w:rPr>
                      <w:color w:val="auto"/>
                      <w:szCs w:val="21"/>
                    </w:rPr>
                    <w:t>194</w:t>
                  </w:r>
                </w:p>
              </w:tc>
              <w:tc>
                <w:tcPr>
                  <w:tcW w:w="716" w:type="pct"/>
                  <w:vAlign w:val="center"/>
                </w:tcPr>
                <w:p>
                  <w:pPr>
                    <w:widowControl/>
                    <w:jc w:val="center"/>
                    <w:textAlignment w:val="center"/>
                    <w:rPr>
                      <w:color w:val="auto"/>
                      <w:szCs w:val="21"/>
                    </w:rPr>
                  </w:pPr>
                  <w:r>
                    <w:rPr>
                      <w:color w:val="auto"/>
                      <w:szCs w:val="21"/>
                    </w:rPr>
                    <w:t>100</w:t>
                  </w:r>
                </w:p>
              </w:tc>
            </w:tr>
          </w:tbl>
          <w:p>
            <w:pPr>
              <w:spacing w:line="360" w:lineRule="auto"/>
              <w:ind w:firstLine="480" w:firstLineChars="200"/>
              <w:rPr>
                <w:color w:val="auto"/>
                <w:sz w:val="24"/>
              </w:rPr>
            </w:pPr>
            <w:r>
              <w:rPr>
                <w:color w:val="auto"/>
                <w:sz w:val="24"/>
              </w:rPr>
              <w:t>被子植物有52科135属164种在科级水平上，以寡属科占优势，所占比例为48.08%；单种科和寡种科占优势，其比例达88.46%。在属级水平上以单种属为主，所占比例位85.19%，其次均为寡种属。</w:t>
            </w:r>
          </w:p>
          <w:p>
            <w:pPr>
              <w:spacing w:line="360" w:lineRule="auto"/>
              <w:ind w:firstLine="482" w:firstLineChars="200"/>
              <w:rPr>
                <w:b/>
                <w:bCs/>
                <w:color w:val="auto"/>
                <w:sz w:val="24"/>
              </w:rPr>
            </w:pPr>
            <w:r>
              <w:rPr>
                <w:b/>
                <w:bCs/>
                <w:color w:val="auto"/>
                <w:sz w:val="24"/>
              </w:rPr>
              <w:t>②种子植物区系特征</w:t>
            </w:r>
          </w:p>
          <w:p>
            <w:pPr>
              <w:spacing w:line="360" w:lineRule="auto"/>
              <w:ind w:firstLine="480" w:firstLineChars="200"/>
              <w:rPr>
                <w:color w:val="auto"/>
                <w:sz w:val="24"/>
              </w:rPr>
            </w:pPr>
            <w:r>
              <w:rPr>
                <w:color w:val="auto"/>
                <w:sz w:val="24"/>
              </w:rPr>
              <w:t>评价区共有种子植物54科138属167种。根据吴征镒（1991）对“中国种子植物属的分布区类型”的划分，对138属做了区系成分分析。</w:t>
            </w:r>
          </w:p>
          <w:p>
            <w:pPr>
              <w:spacing w:line="360" w:lineRule="auto"/>
              <w:ind w:firstLine="480" w:firstLineChars="200"/>
              <w:rPr>
                <w:color w:val="auto"/>
                <w:sz w:val="24"/>
              </w:rPr>
            </w:pPr>
            <w:r>
              <w:rPr>
                <w:color w:val="auto"/>
                <w:sz w:val="24"/>
              </w:rPr>
              <w:t>A.世界分布</w:t>
            </w:r>
          </w:p>
          <w:p>
            <w:pPr>
              <w:spacing w:line="360" w:lineRule="auto"/>
              <w:ind w:firstLine="480" w:firstLineChars="200"/>
              <w:rPr>
                <w:color w:val="auto"/>
                <w:sz w:val="24"/>
              </w:rPr>
            </w:pPr>
            <w:r>
              <w:rPr>
                <w:color w:val="auto"/>
                <w:sz w:val="24"/>
              </w:rPr>
              <w:t>在评价区内的种子植物中，世界分布的有32属42种，分别占总数的23.19%和25.15%。其中藜属（Chenopodium）和毛茛属（Ranunculus）各有3种；蓼属（Polygonum）、铁线莲属（Clematis）、碎米荠属（Cardamine）、悬钩子属（Rubus）、鬼针草属（Bidens）、灯心草属（Juncus）各有2种；其余的属各有1种。</w:t>
            </w:r>
          </w:p>
          <w:p>
            <w:pPr>
              <w:spacing w:line="360" w:lineRule="auto"/>
              <w:ind w:firstLine="480" w:firstLineChars="200"/>
              <w:rPr>
                <w:color w:val="auto"/>
                <w:sz w:val="24"/>
              </w:rPr>
            </w:pPr>
            <w:r>
              <w:rPr>
                <w:color w:val="auto"/>
                <w:sz w:val="24"/>
              </w:rPr>
              <w:t>B.泛热带分布</w:t>
            </w:r>
          </w:p>
          <w:p>
            <w:pPr>
              <w:spacing w:line="360" w:lineRule="auto"/>
              <w:ind w:firstLine="480" w:firstLineChars="200"/>
              <w:rPr>
                <w:color w:val="auto"/>
                <w:sz w:val="24"/>
              </w:rPr>
            </w:pPr>
            <w:r>
              <w:rPr>
                <w:color w:val="auto"/>
                <w:sz w:val="24"/>
              </w:rPr>
              <w:t>在评价区内的种子植物中，泛热带分布的有34属39种，分别占总数的24.64%和23.35%。即榕属（Ficus）、细辛属（Asarum）、牛膝属（Achyranthes）、冬青属（Ilex）、卫矛属（Euonymus）各有2种；其余的属各有1种。</w:t>
            </w:r>
          </w:p>
          <w:p>
            <w:pPr>
              <w:spacing w:line="360" w:lineRule="auto"/>
              <w:ind w:firstLine="480" w:firstLineChars="200"/>
              <w:rPr>
                <w:color w:val="auto"/>
                <w:sz w:val="24"/>
              </w:rPr>
            </w:pPr>
            <w:r>
              <w:rPr>
                <w:color w:val="auto"/>
                <w:sz w:val="24"/>
              </w:rPr>
              <w:t>C.热带亚洲分布</w:t>
            </w:r>
          </w:p>
          <w:p>
            <w:pPr>
              <w:spacing w:line="360" w:lineRule="auto"/>
              <w:ind w:firstLine="480" w:firstLineChars="200"/>
              <w:rPr>
                <w:color w:val="auto"/>
                <w:sz w:val="24"/>
              </w:rPr>
            </w:pPr>
            <w:r>
              <w:rPr>
                <w:color w:val="auto"/>
                <w:sz w:val="24"/>
              </w:rPr>
              <w:t>在评价区内的种子植物中，热带亚洲分布的有3属3种，分别占总数的2.17%和1.8%。即构属（Broussonetia）、蛇莓属（Duchesnea）、苦荬菜属（Ixeria）各有1种。</w:t>
            </w:r>
          </w:p>
          <w:p>
            <w:pPr>
              <w:spacing w:line="360" w:lineRule="auto"/>
              <w:ind w:firstLine="480" w:firstLineChars="200"/>
              <w:rPr>
                <w:color w:val="auto"/>
                <w:sz w:val="24"/>
              </w:rPr>
            </w:pPr>
            <w:r>
              <w:rPr>
                <w:color w:val="auto"/>
                <w:sz w:val="24"/>
              </w:rPr>
              <w:t>D.热带亚洲和热带美洲间断分布</w:t>
            </w:r>
          </w:p>
          <w:p>
            <w:pPr>
              <w:spacing w:line="360" w:lineRule="auto"/>
              <w:ind w:firstLine="480" w:firstLineChars="200"/>
              <w:rPr>
                <w:color w:val="auto"/>
                <w:sz w:val="24"/>
              </w:rPr>
            </w:pPr>
            <w:r>
              <w:rPr>
                <w:color w:val="auto"/>
                <w:sz w:val="24"/>
              </w:rPr>
              <w:t>在评价区内的种子植物中，热带亚洲和热带美洲间断分布的有1属1种，分别占总数的0.72%和0.6%。即杯托属（Litsea）的1种植物。</w:t>
            </w:r>
          </w:p>
          <w:p>
            <w:pPr>
              <w:spacing w:line="360" w:lineRule="auto"/>
              <w:ind w:firstLine="480" w:firstLineChars="200"/>
              <w:rPr>
                <w:color w:val="auto"/>
                <w:sz w:val="24"/>
              </w:rPr>
            </w:pPr>
            <w:r>
              <w:rPr>
                <w:color w:val="auto"/>
                <w:sz w:val="24"/>
              </w:rPr>
              <w:t>E.旧世界热带分布</w:t>
            </w:r>
          </w:p>
          <w:p>
            <w:pPr>
              <w:spacing w:line="360" w:lineRule="auto"/>
              <w:ind w:firstLine="480" w:firstLineChars="200"/>
              <w:rPr>
                <w:color w:val="auto"/>
                <w:sz w:val="24"/>
              </w:rPr>
            </w:pPr>
            <w:r>
              <w:rPr>
                <w:color w:val="auto"/>
                <w:sz w:val="24"/>
              </w:rPr>
              <w:t>在评价区内的种子植物中，旧世界热带分布的有2属2种，分别占总数的1.45%和1.2%。即蝎子草属（Girardinia）和荩草属（Arthraxon）各1种植物。</w:t>
            </w:r>
          </w:p>
          <w:p>
            <w:pPr>
              <w:spacing w:line="360" w:lineRule="auto"/>
              <w:ind w:firstLine="480" w:firstLineChars="200"/>
              <w:rPr>
                <w:color w:val="auto"/>
                <w:sz w:val="24"/>
              </w:rPr>
            </w:pPr>
            <w:r>
              <w:rPr>
                <w:color w:val="auto"/>
                <w:sz w:val="24"/>
              </w:rPr>
              <w:t>F.热带亚洲至热带大洋洲分布</w:t>
            </w:r>
          </w:p>
          <w:p>
            <w:pPr>
              <w:spacing w:line="360" w:lineRule="auto"/>
              <w:ind w:firstLine="480" w:firstLineChars="200"/>
              <w:rPr>
                <w:color w:val="auto"/>
                <w:sz w:val="24"/>
              </w:rPr>
            </w:pPr>
            <w:r>
              <w:rPr>
                <w:color w:val="auto"/>
                <w:sz w:val="24"/>
              </w:rPr>
              <w:t>在评价区内的种子植物中，热带亚洲至热带大洋洲分布的有2属2种，分别占总数的1.45%和1.2%。即樟属（Cinnamomum）和香椿属（Toona）各1种。</w:t>
            </w:r>
          </w:p>
          <w:p>
            <w:pPr>
              <w:spacing w:line="360" w:lineRule="auto"/>
              <w:ind w:firstLine="480" w:firstLineChars="200"/>
              <w:rPr>
                <w:color w:val="auto"/>
                <w:sz w:val="24"/>
              </w:rPr>
            </w:pPr>
            <w:r>
              <w:rPr>
                <w:color w:val="auto"/>
                <w:sz w:val="24"/>
              </w:rPr>
              <w:t>G.热带亚洲至热带非洲分布</w:t>
            </w:r>
          </w:p>
          <w:p>
            <w:pPr>
              <w:spacing w:line="360" w:lineRule="auto"/>
              <w:ind w:firstLine="480" w:firstLineChars="200"/>
              <w:rPr>
                <w:color w:val="auto"/>
                <w:sz w:val="24"/>
              </w:rPr>
            </w:pPr>
            <w:r>
              <w:rPr>
                <w:color w:val="auto"/>
                <w:sz w:val="24"/>
              </w:rPr>
              <w:t>在评价区内的种子植物中，热带亚洲至热带非洲分布的有3属3种，分别占总数的2.17%和1.8%。即鱼眼草属（Dichrocephala）、荩草属（Arthraxon）和铁仔属（Myrsine）各1种。</w:t>
            </w:r>
          </w:p>
          <w:p>
            <w:pPr>
              <w:spacing w:line="360" w:lineRule="auto"/>
              <w:ind w:firstLine="480" w:firstLineChars="200"/>
              <w:rPr>
                <w:color w:val="auto"/>
                <w:sz w:val="24"/>
              </w:rPr>
            </w:pPr>
            <w:r>
              <w:rPr>
                <w:color w:val="auto"/>
                <w:sz w:val="24"/>
              </w:rPr>
              <w:t>H.北温带分布</w:t>
            </w:r>
          </w:p>
          <w:p>
            <w:pPr>
              <w:spacing w:line="360" w:lineRule="auto"/>
              <w:ind w:firstLine="480" w:firstLineChars="200"/>
              <w:rPr>
                <w:color w:val="auto"/>
                <w:sz w:val="24"/>
              </w:rPr>
            </w:pPr>
            <w:r>
              <w:rPr>
                <w:color w:val="auto"/>
                <w:sz w:val="24"/>
              </w:rPr>
              <w:t>在评价区内的种子植物中，北温带分布的有35属46种，分别占总数的25.36%和27.54%。其中蔷薇属（Rosa）和蒿属（Artemisia）各4种；栎属（Quercus）3种；杨属（Populus）、委陵菜属（Potentilla）、胡桃属（Juglans）各2种；其余的属各有1种。</w:t>
            </w:r>
          </w:p>
          <w:p>
            <w:pPr>
              <w:spacing w:line="360" w:lineRule="auto"/>
              <w:ind w:firstLine="480" w:firstLineChars="200"/>
              <w:rPr>
                <w:color w:val="auto"/>
                <w:sz w:val="24"/>
              </w:rPr>
            </w:pPr>
            <w:r>
              <w:rPr>
                <w:color w:val="auto"/>
                <w:sz w:val="24"/>
              </w:rPr>
              <w:t>I.北温带和南温带间断分布</w:t>
            </w:r>
          </w:p>
          <w:p>
            <w:pPr>
              <w:spacing w:line="360" w:lineRule="auto"/>
              <w:ind w:firstLine="480" w:firstLineChars="200"/>
              <w:rPr>
                <w:color w:val="auto"/>
                <w:sz w:val="24"/>
              </w:rPr>
            </w:pPr>
            <w:r>
              <w:rPr>
                <w:color w:val="auto"/>
                <w:sz w:val="24"/>
              </w:rPr>
              <w:t>在评价区内的种子植物中，北温带和南温带间断分布的有1属1种，分别占总数的0.72%和0.6%。即求米草属（Oplismenus）的1种植物。</w:t>
            </w:r>
          </w:p>
          <w:p>
            <w:pPr>
              <w:spacing w:line="360" w:lineRule="auto"/>
              <w:ind w:firstLine="480" w:firstLineChars="200"/>
              <w:rPr>
                <w:color w:val="auto"/>
                <w:sz w:val="24"/>
              </w:rPr>
            </w:pPr>
            <w:r>
              <w:rPr>
                <w:color w:val="auto"/>
                <w:sz w:val="24"/>
              </w:rPr>
              <w:t>J.东亚和北美洲间断分布</w:t>
            </w:r>
          </w:p>
          <w:p>
            <w:pPr>
              <w:spacing w:line="360" w:lineRule="auto"/>
              <w:ind w:firstLine="480" w:firstLineChars="200"/>
              <w:rPr>
                <w:color w:val="auto"/>
                <w:sz w:val="24"/>
              </w:rPr>
            </w:pPr>
            <w:r>
              <w:rPr>
                <w:color w:val="auto"/>
                <w:sz w:val="24"/>
              </w:rPr>
              <w:t>在评价区内的种子植物中，东亚和北美洲间断分布的有3属4种，分别占总数的2.17%和2.4%。其中蛇葡萄属（Ampelopsis）有2种，其余的属各1种。</w:t>
            </w:r>
          </w:p>
          <w:p>
            <w:pPr>
              <w:spacing w:line="360" w:lineRule="auto"/>
              <w:ind w:firstLine="480" w:firstLineChars="200"/>
              <w:rPr>
                <w:color w:val="auto"/>
                <w:sz w:val="24"/>
              </w:rPr>
            </w:pPr>
            <w:r>
              <w:rPr>
                <w:color w:val="auto"/>
                <w:sz w:val="24"/>
              </w:rPr>
              <w:t>K.旧世界温带分布</w:t>
            </w:r>
          </w:p>
          <w:p>
            <w:pPr>
              <w:spacing w:line="360" w:lineRule="auto"/>
              <w:ind w:firstLine="480" w:firstLineChars="200"/>
              <w:rPr>
                <w:color w:val="auto"/>
                <w:sz w:val="24"/>
              </w:rPr>
            </w:pPr>
            <w:r>
              <w:rPr>
                <w:color w:val="auto"/>
                <w:sz w:val="24"/>
              </w:rPr>
              <w:t>在评价区内的种子植物中，旧世界温带分布的有8属10种，分别占总数的5.8%和5.99%。其中女贞属（Ligustrum）有3种，其余的属各1种。</w:t>
            </w:r>
          </w:p>
          <w:p>
            <w:pPr>
              <w:spacing w:line="360" w:lineRule="auto"/>
              <w:ind w:firstLine="480" w:firstLineChars="200"/>
              <w:rPr>
                <w:color w:val="auto"/>
                <w:sz w:val="24"/>
              </w:rPr>
            </w:pPr>
            <w:r>
              <w:rPr>
                <w:color w:val="auto"/>
                <w:sz w:val="24"/>
              </w:rPr>
              <w:t>L.地中海区、西亚至中亚分布</w:t>
            </w:r>
          </w:p>
          <w:p>
            <w:pPr>
              <w:spacing w:line="360" w:lineRule="auto"/>
              <w:ind w:firstLine="480" w:firstLineChars="200"/>
              <w:rPr>
                <w:color w:val="auto"/>
                <w:sz w:val="24"/>
              </w:rPr>
            </w:pPr>
            <w:r>
              <w:rPr>
                <w:color w:val="auto"/>
                <w:sz w:val="24"/>
              </w:rPr>
              <w:t>在评价区内的种子植物中，地中海区、西亚至中亚分布的有2属2种，分别占总数的1.45%和1.2%。即黄连木属（Pistacia）和常春藤属（Hedera）各1种植物。</w:t>
            </w:r>
          </w:p>
          <w:p>
            <w:pPr>
              <w:spacing w:line="360" w:lineRule="auto"/>
              <w:ind w:firstLine="480" w:firstLineChars="200"/>
              <w:rPr>
                <w:color w:val="auto"/>
                <w:sz w:val="24"/>
              </w:rPr>
            </w:pPr>
            <w:r>
              <w:rPr>
                <w:color w:val="auto"/>
                <w:sz w:val="24"/>
              </w:rPr>
              <w:t>M.东亚分布及其变型</w:t>
            </w:r>
          </w:p>
          <w:p>
            <w:pPr>
              <w:spacing w:line="360" w:lineRule="auto"/>
              <w:ind w:firstLine="480" w:firstLineChars="200"/>
              <w:rPr>
                <w:color w:val="auto"/>
                <w:sz w:val="24"/>
              </w:rPr>
            </w:pPr>
            <w:r>
              <w:rPr>
                <w:color w:val="auto"/>
                <w:sz w:val="24"/>
              </w:rPr>
              <w:t>在评价区内的种子植物中，东亚分布及其变型的有11属11种，分别占总数的7.97%和6.59%，其中各属均只有1种植物。</w:t>
            </w:r>
          </w:p>
          <w:p>
            <w:pPr>
              <w:spacing w:line="360" w:lineRule="auto"/>
              <w:ind w:firstLine="480" w:firstLineChars="200"/>
              <w:rPr>
                <w:color w:val="auto"/>
                <w:sz w:val="24"/>
              </w:rPr>
            </w:pPr>
            <w:r>
              <w:rPr>
                <w:color w:val="auto"/>
                <w:sz w:val="24"/>
              </w:rPr>
              <w:t>N.中国特有分布</w:t>
            </w:r>
          </w:p>
          <w:p>
            <w:pPr>
              <w:spacing w:line="360" w:lineRule="auto"/>
              <w:ind w:firstLine="480" w:firstLineChars="200"/>
              <w:rPr>
                <w:color w:val="auto"/>
                <w:sz w:val="24"/>
              </w:rPr>
            </w:pPr>
            <w:r>
              <w:rPr>
                <w:color w:val="auto"/>
                <w:sz w:val="24"/>
              </w:rPr>
              <w:t>在评价区内的种子植物中，中国特有分布的有1属1种，分别占总数的0.72%和0.6%。即杜仲属（Eucommia）的1种植物。</w:t>
            </w:r>
          </w:p>
          <w:p>
            <w:pPr>
              <w:spacing w:line="360" w:lineRule="auto"/>
              <w:ind w:firstLine="482" w:firstLineChars="200"/>
              <w:rPr>
                <w:b/>
                <w:bCs/>
                <w:color w:val="auto"/>
                <w:sz w:val="24"/>
              </w:rPr>
            </w:pPr>
            <w:r>
              <w:rPr>
                <w:b/>
                <w:bCs/>
                <w:color w:val="auto"/>
                <w:sz w:val="24"/>
              </w:rPr>
              <w:t>③保护植物与资源植物</w:t>
            </w:r>
          </w:p>
          <w:p>
            <w:pPr>
              <w:spacing w:line="360" w:lineRule="auto"/>
              <w:ind w:firstLine="480" w:firstLineChars="200"/>
              <w:rPr>
                <w:b/>
                <w:bCs/>
                <w:color w:val="auto"/>
                <w:sz w:val="24"/>
              </w:rPr>
            </w:pPr>
            <w:r>
              <w:rPr>
                <w:color w:val="auto"/>
                <w:sz w:val="24"/>
              </w:rPr>
              <w:t>按照《国家重点保护野生植物名录》（2021年）公布的名录，本次野外调查中，</w:t>
            </w:r>
            <w:r>
              <w:rPr>
                <w:b/>
                <w:bCs/>
                <w:color w:val="auto"/>
                <w:sz w:val="24"/>
              </w:rPr>
              <w:t>在评价区内没有发现国家级珍稀濒危保护植物。</w:t>
            </w:r>
          </w:p>
          <w:p>
            <w:pPr>
              <w:spacing w:line="360" w:lineRule="auto"/>
              <w:ind w:firstLine="482" w:firstLineChars="200"/>
              <w:rPr>
                <w:b/>
                <w:bCs/>
                <w:color w:val="auto"/>
                <w:sz w:val="24"/>
              </w:rPr>
            </w:pPr>
            <w:r>
              <w:rPr>
                <w:b/>
                <w:bCs/>
                <w:color w:val="auto"/>
                <w:sz w:val="24"/>
              </w:rPr>
              <w:t>④植被概况</w:t>
            </w:r>
          </w:p>
          <w:p>
            <w:pPr>
              <w:spacing w:line="360" w:lineRule="auto"/>
              <w:ind w:firstLine="480" w:firstLineChars="200"/>
              <w:rPr>
                <w:color w:val="auto"/>
                <w:sz w:val="24"/>
              </w:rPr>
            </w:pPr>
            <w:r>
              <w:rPr>
                <w:color w:val="auto"/>
                <w:sz w:val="24"/>
              </w:rPr>
              <w:t>根据《四川嘉陵江源湿地市级自然保护区综合科学考察报告》和对工程建设影响评价区域的实地调查可知，评价区域处于嘉陵江、羊木河两岸的低山河谷区。</w:t>
            </w:r>
          </w:p>
          <w:p>
            <w:pPr>
              <w:spacing w:line="360" w:lineRule="auto"/>
              <w:ind w:firstLine="480" w:firstLineChars="200"/>
              <w:rPr>
                <w:color w:val="auto"/>
                <w:sz w:val="24"/>
              </w:rPr>
            </w:pPr>
            <w:r>
              <w:rPr>
                <w:color w:val="auto"/>
                <w:sz w:val="24"/>
              </w:rPr>
              <w:t>柏木林</w:t>
            </w:r>
          </w:p>
          <w:p>
            <w:pPr>
              <w:spacing w:line="360" w:lineRule="auto"/>
              <w:ind w:firstLine="480" w:firstLineChars="200"/>
              <w:rPr>
                <w:color w:val="auto"/>
                <w:sz w:val="24"/>
              </w:rPr>
            </w:pPr>
            <w:r>
              <w:rPr>
                <w:color w:val="auto"/>
                <w:sz w:val="24"/>
              </w:rPr>
              <w:t>柏木林是保护区柏木林的主要类型，在100m</w:t>
            </w:r>
            <w:r>
              <w:rPr>
                <w:color w:val="auto"/>
                <w:sz w:val="24"/>
                <w:vertAlign w:val="superscript"/>
              </w:rPr>
              <w:t>2</w:t>
            </w:r>
            <w:r>
              <w:rPr>
                <w:color w:val="auto"/>
                <w:sz w:val="24"/>
              </w:rPr>
              <w:t>的样方中，乔木层高度大于15m的柏木共5株，平均胸径21cm，高度在10m、6m的柏木乔木各一株，胸径均在10cm左右。</w:t>
            </w:r>
          </w:p>
          <w:p>
            <w:pPr>
              <w:spacing w:line="360" w:lineRule="auto"/>
              <w:ind w:firstLine="480" w:firstLineChars="200"/>
              <w:rPr>
                <w:color w:val="auto"/>
                <w:sz w:val="24"/>
              </w:rPr>
            </w:pPr>
            <w:r>
              <w:rPr>
                <w:color w:val="auto"/>
                <w:sz w:val="24"/>
              </w:rPr>
              <w:t>灌木层植物主要有柏木幼树8株，平均高度3.5m，总盖度达20%，占优势的灌木包括小果蔷薇（Rosa cymosa）、铁仔（Myrsine africana L.）以及阔叶十大功劳（Mahonia fortunel），盖度均大于10%，平均高度分别为2.5m、0.8m和0.7m。另外，该层中常见的树种还有黄荆（Vitex negundo）、火棘（Pyracantha fortuneana）、小叶女贞（Ligustrum quihoui Carrière）、烟管荚蒾（Viburnum utile）以及栓皮栎（Quercus variabilis）、化香（Platycarya strobilacea）幼树等，总盖度20%左右。</w:t>
            </w:r>
          </w:p>
          <w:p>
            <w:pPr>
              <w:spacing w:line="360" w:lineRule="auto"/>
              <w:ind w:firstLine="480" w:firstLineChars="200"/>
              <w:rPr>
                <w:color w:val="auto"/>
                <w:sz w:val="24"/>
              </w:rPr>
            </w:pPr>
            <w:r>
              <w:rPr>
                <w:color w:val="auto"/>
                <w:sz w:val="24"/>
              </w:rPr>
              <w:t>草本层植物主要是苔草、竹叶草（Oplismenus compositus (L.) P. Beauv.）和莎草，平均高度均0.2-0.4m，盖度分别为20%、10%和10%，其他常见种包括线蕨、千里光（Senecio scandens Buch.-Ham. ex D. Don）、蝴蝶花（Iris japonica Thunb.）、堇菜（Viola verecunda A. Gray）、卷柏等。层间藤本植物也很丰富，主要有菝葜（Smilax chinaL.）、常春藤（Hedera nepalensisK. Koch var. sinensis (Tobler) Rehder）、铁线莲、牛姆瓜（Holboellia grandifloraReaub.）、忍冬（Lonicera japonica）和猕猴桃等。</w:t>
            </w:r>
          </w:p>
          <w:p>
            <w:pPr>
              <w:spacing w:line="360" w:lineRule="auto"/>
              <w:ind w:firstLine="480" w:firstLineChars="200"/>
              <w:rPr>
                <w:color w:val="auto"/>
                <w:sz w:val="24"/>
              </w:rPr>
            </w:pPr>
            <w:r>
              <w:rPr>
                <w:color w:val="auto"/>
                <w:sz w:val="24"/>
              </w:rPr>
              <w:t>马尾松林</w:t>
            </w:r>
          </w:p>
          <w:p>
            <w:pPr>
              <w:spacing w:line="360" w:lineRule="auto"/>
              <w:ind w:firstLine="480" w:firstLineChars="200"/>
              <w:rPr>
                <w:color w:val="auto"/>
                <w:sz w:val="24"/>
              </w:rPr>
            </w:pPr>
            <w:r>
              <w:rPr>
                <w:color w:val="auto"/>
                <w:sz w:val="24"/>
              </w:rPr>
              <w:t>保护区内马尾松林分布十分广泛，潜溪河、鱼洞河、羊木河、安乐河及嘉陵江主干道海拔高度范围500-950m均有分布，群落外貌翠绿色，林冠较为整齐，多为人工飞播纯林。乔木层中马尾松数量较多，100m</w:t>
            </w:r>
            <w:r>
              <w:rPr>
                <w:color w:val="auto"/>
                <w:sz w:val="24"/>
                <w:vertAlign w:val="superscript"/>
              </w:rPr>
              <w:t>2</w:t>
            </w:r>
            <w:r>
              <w:rPr>
                <w:color w:val="auto"/>
                <w:sz w:val="24"/>
              </w:rPr>
              <w:t>的样地中计有马尾松个体15株，平均高度12m，胸径15cm左右。伴生的树种有柏木、栓皮栎、麻栎等。</w:t>
            </w:r>
          </w:p>
          <w:p>
            <w:pPr>
              <w:spacing w:line="360" w:lineRule="auto"/>
              <w:ind w:firstLine="480" w:firstLineChars="200"/>
              <w:rPr>
                <w:color w:val="auto"/>
                <w:sz w:val="24"/>
              </w:rPr>
            </w:pPr>
            <w:r>
              <w:rPr>
                <w:color w:val="auto"/>
                <w:sz w:val="24"/>
              </w:rPr>
              <w:t xml:space="preserve">灌木层中马尾松幼树均较少，灌木以火棘、铁仔、马桑（Coriaria nepalensis）和黄荆较常见，总盖度达30%以上，平均高1m，另有少量的柞木（Xylosma racemosa (Sieb. &amp; Zucc.) Miq.）、小檗、匍匐栒子（Cotoneaster adpressus Bois）、小果蔷薇、异叶花椒（Zanthoxylum ovalifolium Wight.）等伴生。草本植物以褐果薹草（Carex brunnea Thunb.）为优势种，总盖度在45%左右，平均高度在0.3m，白茅、荩草则各占10%，另有少量的披碱草（Elymus dahuricus Turcz. ex Griseb.）、一年蓬（Erigeron annuus）分布其中。 </w:t>
            </w:r>
          </w:p>
          <w:p>
            <w:pPr>
              <w:spacing w:line="360" w:lineRule="auto"/>
              <w:ind w:firstLine="480" w:firstLineChars="200"/>
              <w:rPr>
                <w:color w:val="auto"/>
                <w:sz w:val="24"/>
              </w:rPr>
            </w:pPr>
            <w:r>
              <w:rPr>
                <w:color w:val="auto"/>
                <w:sz w:val="24"/>
              </w:rPr>
              <w:t>栓皮栎林</w:t>
            </w:r>
          </w:p>
          <w:p>
            <w:pPr>
              <w:spacing w:line="360" w:lineRule="auto"/>
              <w:ind w:firstLine="480" w:firstLineChars="200"/>
              <w:rPr>
                <w:color w:val="auto"/>
                <w:sz w:val="24"/>
              </w:rPr>
            </w:pPr>
            <w:r>
              <w:rPr>
                <w:color w:val="auto"/>
                <w:sz w:val="24"/>
              </w:rPr>
              <w:t>该群落在评价区分布较为广泛，海拔高度范围在500-900m较常分布，具有乔木型、矮林型以及灌丛型三种形态，除个别地段有高大的乔木外，一般多为萌生的幼年林。群落外貌黄绿色，林冠参差不齐，林内结构简单。栓皮栎的郁闭度在0.4-0.7之间，树高及胸径则视人为干扰程度的不同而表现出明显的差异。干扰严重的地区，栓皮栎多呈萌生的矮林状，甚至成为灌丛。人为干扰较轻的地段，栓皮栋多为乔林型。</w:t>
            </w:r>
          </w:p>
          <w:p>
            <w:pPr>
              <w:spacing w:line="360" w:lineRule="auto"/>
              <w:ind w:firstLine="480" w:firstLineChars="200"/>
              <w:rPr>
                <w:color w:val="auto"/>
                <w:sz w:val="24"/>
              </w:rPr>
            </w:pPr>
            <w:r>
              <w:rPr>
                <w:color w:val="auto"/>
                <w:sz w:val="24"/>
              </w:rPr>
              <w:t>保护区内栓皮栎乔木型样地中，林冠层栓皮栎平均高度7m，胸径12cm左右，伴生的树种有麻栎（Quercus acutissima）、槲栎（Quercus aliena Bl.）、马尾松等。林下植物种类和数量均较少，其中，灌木层主要有火棘、黄荆、山茶（Camellia japonica L.）和毛黄栌（Cotinus coggygria Scop. var. pubescens），平均高度2m左右，总盖度低于25%。草本层植物以白茅（Imperata cylindrica）、苔草、荩草（Arthraxon hispidus(Thunb.) Makino）为主，总盖度低于15%。</w:t>
            </w:r>
          </w:p>
          <w:p>
            <w:pPr>
              <w:spacing w:line="360" w:lineRule="auto"/>
              <w:ind w:firstLine="480" w:firstLineChars="200"/>
              <w:rPr>
                <w:color w:val="auto"/>
                <w:sz w:val="24"/>
              </w:rPr>
            </w:pPr>
            <w:r>
              <w:rPr>
                <w:color w:val="auto"/>
                <w:sz w:val="24"/>
              </w:rPr>
              <w:t>黄荆、马桑灌丛</w:t>
            </w:r>
          </w:p>
          <w:p>
            <w:pPr>
              <w:spacing w:line="360" w:lineRule="auto"/>
              <w:ind w:firstLine="480" w:firstLineChars="200"/>
              <w:rPr>
                <w:color w:val="auto"/>
                <w:sz w:val="24"/>
              </w:rPr>
            </w:pPr>
            <w:r>
              <w:rPr>
                <w:color w:val="auto"/>
                <w:sz w:val="24"/>
              </w:rPr>
              <w:t>黄荆、马桑灌丛群落外貌呈绿色，丛状，参差不齐。盖度30%-70%，也有达85%的。黄荆与马桑常共同组成灌木层的优势种，因环境不同，黄荆与马桑两者生长的数量也有差异。在坡地，马桑较黄荆为多，盖度达45%。河谷两岸，农耕地旁则黄荆稍占优势，盖度达30%以上。在群落中，黄荆植株常比马桑高，平均高度在2.5m左右，马桑的高度则在1.5-2m。灌木层伴生的其他灌木还有小果蔷薇、火棘、铁仔、金丝桃（Hypericum monogynum L.）等，其总盖度多低于20%，有时还偶见麻栎幼树及毛黄栌等。</w:t>
            </w:r>
          </w:p>
          <w:p>
            <w:pPr>
              <w:spacing w:line="360" w:lineRule="auto"/>
              <w:ind w:firstLine="480" w:firstLineChars="200"/>
              <w:rPr>
                <w:color w:val="auto"/>
                <w:sz w:val="24"/>
              </w:rPr>
            </w:pPr>
            <w:r>
              <w:rPr>
                <w:color w:val="auto"/>
                <w:sz w:val="24"/>
              </w:rPr>
              <w:t>草本层植物主要有竹叶草、蜈蚣草（Eremochloa ciliaris(L.) Merr.）、牛尾蒿（A. subdigitata）等，盖度在30%左右，另有少量的菝葜、铁线莲等藤本植物分布其间。</w:t>
            </w:r>
          </w:p>
          <w:p>
            <w:pPr>
              <w:spacing w:line="360" w:lineRule="auto"/>
              <w:ind w:firstLine="482" w:firstLineChars="200"/>
              <w:rPr>
                <w:b/>
                <w:bCs/>
                <w:color w:val="auto"/>
                <w:sz w:val="24"/>
              </w:rPr>
            </w:pPr>
            <w:r>
              <w:rPr>
                <w:b/>
                <w:bCs/>
                <w:color w:val="auto"/>
                <w:sz w:val="24"/>
              </w:rPr>
              <w:t>（2）野生动物资源</w:t>
            </w:r>
          </w:p>
          <w:p>
            <w:pPr>
              <w:spacing w:line="360" w:lineRule="auto"/>
              <w:ind w:firstLine="482" w:firstLineChars="200"/>
              <w:rPr>
                <w:b/>
                <w:bCs/>
                <w:color w:val="auto"/>
                <w:sz w:val="24"/>
              </w:rPr>
            </w:pPr>
            <w:r>
              <w:rPr>
                <w:b/>
                <w:bCs/>
                <w:color w:val="auto"/>
                <w:sz w:val="24"/>
              </w:rPr>
              <w:t>①评价区动物多样性</w:t>
            </w:r>
          </w:p>
          <w:p>
            <w:pPr>
              <w:spacing w:line="360" w:lineRule="auto"/>
              <w:ind w:firstLine="480" w:firstLineChars="200"/>
              <w:rPr>
                <w:color w:val="auto"/>
                <w:sz w:val="24"/>
              </w:rPr>
            </w:pPr>
            <w:r>
              <w:rPr>
                <w:color w:val="auto"/>
                <w:sz w:val="24"/>
              </w:rPr>
              <w:t>根据现场调查、访问，参考《 四川省朝天区广坪河羊木段防洪治理工程对四川嘉陵江源湿地市级自然保护区自然资源、自然生态系统和主要保护对象影响评价报告》，确认在四川嘉陵江源湿地市级自然保护区评价区域共有陆生动物117种，它们在各个大类群中的分布见下表。</w:t>
            </w:r>
          </w:p>
          <w:p>
            <w:pPr>
              <w:widowControl/>
              <w:numPr>
                <w:ilvl w:val="0"/>
                <w:numId w:val="8"/>
              </w:numPr>
              <w:adjustRightInd w:val="0"/>
              <w:snapToGrid w:val="0"/>
              <w:jc w:val="center"/>
              <w:rPr>
                <w:b/>
                <w:color w:val="auto"/>
                <w:szCs w:val="18"/>
              </w:rPr>
            </w:pPr>
            <w:r>
              <w:rPr>
                <w:b/>
                <w:color w:val="auto"/>
                <w:szCs w:val="18"/>
              </w:rPr>
              <w:t>影响评价区陆生脊椎动物物种组成</w:t>
            </w:r>
          </w:p>
          <w:tbl>
            <w:tblPr>
              <w:tblStyle w:val="3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1076"/>
              <w:gridCol w:w="1075"/>
              <w:gridCol w:w="1075"/>
              <w:gridCol w:w="1075"/>
              <w:gridCol w:w="41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635" w:type="pct"/>
                  <w:vAlign w:val="center"/>
                </w:tcPr>
                <w:p>
                  <w:pPr>
                    <w:pStyle w:val="80"/>
                    <w:rPr>
                      <w:color w:val="auto"/>
                      <w:kern w:val="0"/>
                      <w:sz w:val="21"/>
                      <w:szCs w:val="21"/>
                    </w:rPr>
                  </w:pPr>
                  <w:r>
                    <w:rPr>
                      <w:color w:val="auto"/>
                      <w:kern w:val="0"/>
                      <w:sz w:val="21"/>
                      <w:szCs w:val="21"/>
                    </w:rPr>
                    <w:t>类群</w:t>
                  </w:r>
                </w:p>
              </w:tc>
              <w:tc>
                <w:tcPr>
                  <w:tcW w:w="635" w:type="pct"/>
                  <w:vAlign w:val="center"/>
                </w:tcPr>
                <w:p>
                  <w:pPr>
                    <w:pStyle w:val="80"/>
                    <w:rPr>
                      <w:color w:val="auto"/>
                      <w:sz w:val="21"/>
                      <w:szCs w:val="21"/>
                    </w:rPr>
                  </w:pPr>
                  <w:r>
                    <w:rPr>
                      <w:color w:val="auto"/>
                      <w:sz w:val="21"/>
                      <w:szCs w:val="21"/>
                    </w:rPr>
                    <w:t>目数</w:t>
                  </w:r>
                </w:p>
              </w:tc>
              <w:tc>
                <w:tcPr>
                  <w:tcW w:w="635" w:type="pct"/>
                  <w:vAlign w:val="center"/>
                </w:tcPr>
                <w:p>
                  <w:pPr>
                    <w:pStyle w:val="80"/>
                    <w:rPr>
                      <w:color w:val="auto"/>
                      <w:sz w:val="21"/>
                      <w:szCs w:val="21"/>
                    </w:rPr>
                  </w:pPr>
                  <w:r>
                    <w:rPr>
                      <w:color w:val="auto"/>
                      <w:sz w:val="21"/>
                      <w:szCs w:val="21"/>
                    </w:rPr>
                    <w:t>科数</w:t>
                  </w:r>
                </w:p>
              </w:tc>
              <w:tc>
                <w:tcPr>
                  <w:tcW w:w="635" w:type="pct"/>
                  <w:vAlign w:val="center"/>
                </w:tcPr>
                <w:p>
                  <w:pPr>
                    <w:pStyle w:val="80"/>
                    <w:rPr>
                      <w:color w:val="auto"/>
                      <w:sz w:val="21"/>
                      <w:szCs w:val="21"/>
                    </w:rPr>
                  </w:pPr>
                  <w:r>
                    <w:rPr>
                      <w:color w:val="auto"/>
                      <w:sz w:val="21"/>
                      <w:szCs w:val="21"/>
                    </w:rPr>
                    <w:t>物种数</w:t>
                  </w:r>
                </w:p>
              </w:tc>
              <w:tc>
                <w:tcPr>
                  <w:tcW w:w="2459" w:type="pct"/>
                  <w:vAlign w:val="center"/>
                </w:tcPr>
                <w:p>
                  <w:pPr>
                    <w:pStyle w:val="80"/>
                    <w:rPr>
                      <w:color w:val="auto"/>
                      <w:sz w:val="21"/>
                      <w:szCs w:val="21"/>
                    </w:rPr>
                  </w:pPr>
                  <w:r>
                    <w:rPr>
                      <w:color w:val="auto"/>
                      <w:sz w:val="21"/>
                      <w:szCs w:val="21"/>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635" w:type="pct"/>
                  <w:vAlign w:val="center"/>
                </w:tcPr>
                <w:p>
                  <w:pPr>
                    <w:widowControl/>
                    <w:jc w:val="center"/>
                    <w:textAlignment w:val="center"/>
                    <w:rPr>
                      <w:color w:val="auto"/>
                      <w:szCs w:val="21"/>
                    </w:rPr>
                  </w:pPr>
                  <w:r>
                    <w:rPr>
                      <w:color w:val="auto"/>
                      <w:szCs w:val="21"/>
                    </w:rPr>
                    <w:t>两栖</w:t>
                  </w:r>
                </w:p>
              </w:tc>
              <w:tc>
                <w:tcPr>
                  <w:tcW w:w="635" w:type="pct"/>
                  <w:vAlign w:val="center"/>
                </w:tcPr>
                <w:p>
                  <w:pPr>
                    <w:widowControl/>
                    <w:jc w:val="center"/>
                    <w:textAlignment w:val="center"/>
                    <w:rPr>
                      <w:color w:val="auto"/>
                      <w:szCs w:val="21"/>
                    </w:rPr>
                  </w:pPr>
                  <w:r>
                    <w:rPr>
                      <w:color w:val="auto"/>
                      <w:szCs w:val="21"/>
                    </w:rPr>
                    <w:t>1</w:t>
                  </w:r>
                </w:p>
              </w:tc>
              <w:tc>
                <w:tcPr>
                  <w:tcW w:w="635" w:type="pct"/>
                  <w:vAlign w:val="center"/>
                </w:tcPr>
                <w:p>
                  <w:pPr>
                    <w:widowControl/>
                    <w:jc w:val="center"/>
                    <w:textAlignment w:val="center"/>
                    <w:rPr>
                      <w:color w:val="auto"/>
                      <w:szCs w:val="21"/>
                      <w:lang w:bidi="ar"/>
                    </w:rPr>
                  </w:pPr>
                  <w:r>
                    <w:rPr>
                      <w:color w:val="auto"/>
                      <w:szCs w:val="21"/>
                      <w:lang w:bidi="ar"/>
                    </w:rPr>
                    <w:t>5</w:t>
                  </w:r>
                </w:p>
              </w:tc>
              <w:tc>
                <w:tcPr>
                  <w:tcW w:w="635" w:type="pct"/>
                  <w:vAlign w:val="center"/>
                </w:tcPr>
                <w:p>
                  <w:pPr>
                    <w:widowControl/>
                    <w:jc w:val="center"/>
                    <w:textAlignment w:val="center"/>
                    <w:rPr>
                      <w:color w:val="auto"/>
                      <w:szCs w:val="21"/>
                      <w:lang w:bidi="ar"/>
                    </w:rPr>
                  </w:pPr>
                  <w:r>
                    <w:rPr>
                      <w:color w:val="auto"/>
                      <w:szCs w:val="21"/>
                      <w:lang w:bidi="ar"/>
                    </w:rPr>
                    <w:t>8</w:t>
                  </w:r>
                </w:p>
              </w:tc>
              <w:tc>
                <w:tcPr>
                  <w:tcW w:w="2459" w:type="pct"/>
                  <w:vAlign w:val="center"/>
                </w:tcPr>
                <w:p>
                  <w:pPr>
                    <w:widowControl/>
                    <w:jc w:val="center"/>
                    <w:textAlignment w:val="center"/>
                    <w:rPr>
                      <w:color w:val="auto"/>
                      <w:szCs w:val="21"/>
                    </w:rPr>
                  </w:pPr>
                  <w:r>
                    <w:rPr>
                      <w:color w:val="auto"/>
                      <w:szCs w:val="21"/>
                    </w:rPr>
                    <w:t>野外观察实体、访问 、查阅资料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635" w:type="pct"/>
                  <w:vAlign w:val="center"/>
                </w:tcPr>
                <w:p>
                  <w:pPr>
                    <w:widowControl/>
                    <w:jc w:val="center"/>
                    <w:textAlignment w:val="center"/>
                    <w:rPr>
                      <w:color w:val="auto"/>
                      <w:szCs w:val="21"/>
                    </w:rPr>
                  </w:pPr>
                  <w:r>
                    <w:rPr>
                      <w:color w:val="auto"/>
                      <w:szCs w:val="21"/>
                    </w:rPr>
                    <w:t>爬行</w:t>
                  </w:r>
                </w:p>
              </w:tc>
              <w:tc>
                <w:tcPr>
                  <w:tcW w:w="635" w:type="pct"/>
                  <w:vAlign w:val="center"/>
                </w:tcPr>
                <w:p>
                  <w:pPr>
                    <w:widowControl/>
                    <w:jc w:val="center"/>
                    <w:textAlignment w:val="center"/>
                    <w:rPr>
                      <w:color w:val="auto"/>
                      <w:szCs w:val="21"/>
                    </w:rPr>
                  </w:pPr>
                  <w:r>
                    <w:rPr>
                      <w:color w:val="auto"/>
                      <w:szCs w:val="21"/>
                    </w:rPr>
                    <w:t>1</w:t>
                  </w:r>
                </w:p>
              </w:tc>
              <w:tc>
                <w:tcPr>
                  <w:tcW w:w="635" w:type="pct"/>
                  <w:vAlign w:val="center"/>
                </w:tcPr>
                <w:p>
                  <w:pPr>
                    <w:widowControl/>
                    <w:jc w:val="center"/>
                    <w:textAlignment w:val="center"/>
                    <w:rPr>
                      <w:color w:val="auto"/>
                      <w:szCs w:val="21"/>
                      <w:lang w:bidi="ar"/>
                    </w:rPr>
                  </w:pPr>
                  <w:r>
                    <w:rPr>
                      <w:color w:val="auto"/>
                      <w:szCs w:val="21"/>
                      <w:lang w:bidi="ar"/>
                    </w:rPr>
                    <w:t>4</w:t>
                  </w:r>
                </w:p>
              </w:tc>
              <w:tc>
                <w:tcPr>
                  <w:tcW w:w="635" w:type="pct"/>
                  <w:vAlign w:val="center"/>
                </w:tcPr>
                <w:p>
                  <w:pPr>
                    <w:widowControl/>
                    <w:jc w:val="center"/>
                    <w:textAlignment w:val="center"/>
                    <w:rPr>
                      <w:color w:val="auto"/>
                      <w:szCs w:val="21"/>
                      <w:lang w:bidi="ar"/>
                    </w:rPr>
                  </w:pPr>
                  <w:r>
                    <w:rPr>
                      <w:color w:val="auto"/>
                      <w:szCs w:val="21"/>
                      <w:lang w:bidi="ar"/>
                    </w:rPr>
                    <w:t>10</w:t>
                  </w:r>
                </w:p>
              </w:tc>
              <w:tc>
                <w:tcPr>
                  <w:tcW w:w="2459" w:type="pct"/>
                  <w:vAlign w:val="center"/>
                </w:tcPr>
                <w:p>
                  <w:pPr>
                    <w:widowControl/>
                    <w:jc w:val="center"/>
                    <w:textAlignment w:val="center"/>
                    <w:rPr>
                      <w:color w:val="auto"/>
                      <w:szCs w:val="21"/>
                    </w:rPr>
                  </w:pPr>
                  <w:r>
                    <w:rPr>
                      <w:color w:val="auto"/>
                      <w:szCs w:val="21"/>
                    </w:rPr>
                    <w:t>野外观察实体、访问 、查阅资料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635" w:type="pct"/>
                  <w:vAlign w:val="center"/>
                </w:tcPr>
                <w:p>
                  <w:pPr>
                    <w:widowControl/>
                    <w:jc w:val="center"/>
                    <w:textAlignment w:val="center"/>
                    <w:rPr>
                      <w:color w:val="auto"/>
                      <w:szCs w:val="21"/>
                    </w:rPr>
                  </w:pPr>
                  <w:r>
                    <w:rPr>
                      <w:color w:val="auto"/>
                      <w:szCs w:val="21"/>
                    </w:rPr>
                    <w:t>鸟类</w:t>
                  </w:r>
                </w:p>
              </w:tc>
              <w:tc>
                <w:tcPr>
                  <w:tcW w:w="635" w:type="pct"/>
                  <w:vAlign w:val="center"/>
                </w:tcPr>
                <w:p>
                  <w:pPr>
                    <w:widowControl/>
                    <w:jc w:val="center"/>
                    <w:textAlignment w:val="center"/>
                    <w:rPr>
                      <w:color w:val="auto"/>
                      <w:szCs w:val="21"/>
                    </w:rPr>
                  </w:pPr>
                  <w:r>
                    <w:rPr>
                      <w:color w:val="auto"/>
                      <w:szCs w:val="21"/>
                    </w:rPr>
                    <w:t>9</w:t>
                  </w:r>
                </w:p>
              </w:tc>
              <w:tc>
                <w:tcPr>
                  <w:tcW w:w="635" w:type="pct"/>
                  <w:vAlign w:val="center"/>
                </w:tcPr>
                <w:p>
                  <w:pPr>
                    <w:widowControl/>
                    <w:jc w:val="center"/>
                    <w:textAlignment w:val="center"/>
                    <w:rPr>
                      <w:color w:val="auto"/>
                      <w:szCs w:val="21"/>
                      <w:lang w:bidi="ar"/>
                    </w:rPr>
                  </w:pPr>
                  <w:r>
                    <w:rPr>
                      <w:color w:val="auto"/>
                      <w:szCs w:val="21"/>
                      <w:lang w:bidi="ar"/>
                    </w:rPr>
                    <w:t>29</w:t>
                  </w:r>
                </w:p>
              </w:tc>
              <w:tc>
                <w:tcPr>
                  <w:tcW w:w="635" w:type="pct"/>
                  <w:vAlign w:val="center"/>
                </w:tcPr>
                <w:p>
                  <w:pPr>
                    <w:widowControl/>
                    <w:jc w:val="center"/>
                    <w:textAlignment w:val="center"/>
                    <w:rPr>
                      <w:color w:val="auto"/>
                      <w:szCs w:val="21"/>
                      <w:lang w:bidi="ar"/>
                    </w:rPr>
                  </w:pPr>
                  <w:r>
                    <w:rPr>
                      <w:color w:val="auto"/>
                      <w:szCs w:val="21"/>
                      <w:lang w:bidi="ar"/>
                    </w:rPr>
                    <w:t>81</w:t>
                  </w:r>
                </w:p>
              </w:tc>
              <w:tc>
                <w:tcPr>
                  <w:tcW w:w="2459" w:type="pct"/>
                  <w:vAlign w:val="center"/>
                </w:tcPr>
                <w:p>
                  <w:pPr>
                    <w:widowControl/>
                    <w:jc w:val="center"/>
                    <w:textAlignment w:val="center"/>
                    <w:rPr>
                      <w:color w:val="auto"/>
                      <w:szCs w:val="21"/>
                    </w:rPr>
                  </w:pPr>
                  <w:r>
                    <w:rPr>
                      <w:color w:val="auto"/>
                      <w:szCs w:val="21"/>
                    </w:rPr>
                    <w:t>野外观察实体、访问 、查阅资料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635" w:type="pct"/>
                  <w:vAlign w:val="center"/>
                </w:tcPr>
                <w:p>
                  <w:pPr>
                    <w:widowControl/>
                    <w:jc w:val="center"/>
                    <w:textAlignment w:val="center"/>
                    <w:rPr>
                      <w:color w:val="auto"/>
                      <w:szCs w:val="21"/>
                    </w:rPr>
                  </w:pPr>
                  <w:r>
                    <w:rPr>
                      <w:color w:val="auto"/>
                      <w:szCs w:val="21"/>
                    </w:rPr>
                    <w:t>兽类</w:t>
                  </w:r>
                </w:p>
              </w:tc>
              <w:tc>
                <w:tcPr>
                  <w:tcW w:w="635" w:type="pct"/>
                  <w:vAlign w:val="center"/>
                </w:tcPr>
                <w:p>
                  <w:pPr>
                    <w:widowControl/>
                    <w:jc w:val="center"/>
                    <w:textAlignment w:val="center"/>
                    <w:rPr>
                      <w:color w:val="auto"/>
                      <w:szCs w:val="21"/>
                    </w:rPr>
                  </w:pPr>
                  <w:r>
                    <w:rPr>
                      <w:color w:val="auto"/>
                      <w:szCs w:val="21"/>
                    </w:rPr>
                    <w:t>6</w:t>
                  </w:r>
                </w:p>
              </w:tc>
              <w:tc>
                <w:tcPr>
                  <w:tcW w:w="635" w:type="pct"/>
                  <w:vAlign w:val="center"/>
                </w:tcPr>
                <w:p>
                  <w:pPr>
                    <w:widowControl/>
                    <w:jc w:val="center"/>
                    <w:textAlignment w:val="center"/>
                    <w:rPr>
                      <w:color w:val="auto"/>
                      <w:szCs w:val="21"/>
                      <w:lang w:bidi="ar"/>
                    </w:rPr>
                  </w:pPr>
                  <w:r>
                    <w:rPr>
                      <w:color w:val="auto"/>
                      <w:szCs w:val="21"/>
                      <w:lang w:bidi="ar"/>
                    </w:rPr>
                    <w:t>9</w:t>
                  </w:r>
                </w:p>
              </w:tc>
              <w:tc>
                <w:tcPr>
                  <w:tcW w:w="635" w:type="pct"/>
                  <w:vAlign w:val="center"/>
                </w:tcPr>
                <w:p>
                  <w:pPr>
                    <w:widowControl/>
                    <w:jc w:val="center"/>
                    <w:textAlignment w:val="center"/>
                    <w:rPr>
                      <w:color w:val="auto"/>
                      <w:szCs w:val="21"/>
                      <w:lang w:bidi="ar"/>
                    </w:rPr>
                  </w:pPr>
                  <w:r>
                    <w:rPr>
                      <w:color w:val="auto"/>
                      <w:szCs w:val="21"/>
                      <w:lang w:bidi="ar"/>
                    </w:rPr>
                    <w:t>18</w:t>
                  </w:r>
                </w:p>
              </w:tc>
              <w:tc>
                <w:tcPr>
                  <w:tcW w:w="2459" w:type="pct"/>
                  <w:vAlign w:val="center"/>
                </w:tcPr>
                <w:p>
                  <w:pPr>
                    <w:widowControl/>
                    <w:jc w:val="center"/>
                    <w:textAlignment w:val="center"/>
                    <w:rPr>
                      <w:color w:val="auto"/>
                      <w:szCs w:val="21"/>
                    </w:rPr>
                  </w:pPr>
                  <w:r>
                    <w:rPr>
                      <w:color w:val="auto"/>
                      <w:szCs w:val="21"/>
                    </w:rPr>
                    <w:t>野外观察实体及活动痕迹、访问 、查阅资料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635" w:type="pct"/>
                  <w:vAlign w:val="center"/>
                </w:tcPr>
                <w:p>
                  <w:pPr>
                    <w:widowControl/>
                    <w:jc w:val="center"/>
                    <w:textAlignment w:val="center"/>
                    <w:rPr>
                      <w:color w:val="auto"/>
                      <w:szCs w:val="21"/>
                    </w:rPr>
                  </w:pPr>
                  <w:r>
                    <w:rPr>
                      <w:color w:val="auto"/>
                      <w:szCs w:val="21"/>
                    </w:rPr>
                    <w:t>合计</w:t>
                  </w:r>
                </w:p>
              </w:tc>
              <w:tc>
                <w:tcPr>
                  <w:tcW w:w="635" w:type="pct"/>
                  <w:vAlign w:val="center"/>
                </w:tcPr>
                <w:p>
                  <w:pPr>
                    <w:widowControl/>
                    <w:jc w:val="center"/>
                    <w:textAlignment w:val="center"/>
                    <w:rPr>
                      <w:color w:val="auto"/>
                      <w:szCs w:val="21"/>
                    </w:rPr>
                  </w:pPr>
                  <w:r>
                    <w:rPr>
                      <w:color w:val="auto"/>
                      <w:szCs w:val="21"/>
                    </w:rPr>
                    <w:t>17</w:t>
                  </w:r>
                </w:p>
              </w:tc>
              <w:tc>
                <w:tcPr>
                  <w:tcW w:w="635" w:type="pct"/>
                  <w:vAlign w:val="center"/>
                </w:tcPr>
                <w:p>
                  <w:pPr>
                    <w:widowControl/>
                    <w:jc w:val="center"/>
                    <w:textAlignment w:val="center"/>
                    <w:rPr>
                      <w:color w:val="auto"/>
                      <w:szCs w:val="21"/>
                    </w:rPr>
                  </w:pPr>
                  <w:r>
                    <w:rPr>
                      <w:color w:val="auto"/>
                      <w:szCs w:val="21"/>
                    </w:rPr>
                    <w:t>47</w:t>
                  </w:r>
                </w:p>
              </w:tc>
              <w:tc>
                <w:tcPr>
                  <w:tcW w:w="635" w:type="pct"/>
                  <w:vAlign w:val="center"/>
                </w:tcPr>
                <w:p>
                  <w:pPr>
                    <w:widowControl/>
                    <w:jc w:val="center"/>
                    <w:textAlignment w:val="center"/>
                    <w:rPr>
                      <w:color w:val="auto"/>
                      <w:szCs w:val="21"/>
                    </w:rPr>
                  </w:pPr>
                  <w:r>
                    <w:rPr>
                      <w:color w:val="auto"/>
                      <w:szCs w:val="21"/>
                    </w:rPr>
                    <w:t>117</w:t>
                  </w:r>
                </w:p>
              </w:tc>
              <w:tc>
                <w:tcPr>
                  <w:tcW w:w="2459" w:type="pct"/>
                  <w:vAlign w:val="center"/>
                </w:tcPr>
                <w:p>
                  <w:pPr>
                    <w:widowControl/>
                    <w:jc w:val="center"/>
                    <w:textAlignment w:val="center"/>
                    <w:rPr>
                      <w:color w:val="auto"/>
                      <w:szCs w:val="21"/>
                    </w:rPr>
                  </w:pPr>
                </w:p>
              </w:tc>
            </w:tr>
          </w:tbl>
          <w:p>
            <w:pPr>
              <w:spacing w:line="360" w:lineRule="auto"/>
              <w:ind w:firstLine="482" w:firstLineChars="200"/>
              <w:rPr>
                <w:b/>
                <w:bCs/>
                <w:color w:val="auto"/>
                <w:sz w:val="24"/>
              </w:rPr>
            </w:pPr>
            <w:r>
              <w:rPr>
                <w:b/>
                <w:bCs/>
                <w:color w:val="auto"/>
                <w:sz w:val="24"/>
              </w:rPr>
              <w:t>②爬行动物</w:t>
            </w:r>
          </w:p>
          <w:p>
            <w:pPr>
              <w:spacing w:line="360" w:lineRule="auto"/>
              <w:ind w:firstLine="480" w:firstLineChars="200"/>
              <w:rPr>
                <w:color w:val="auto"/>
                <w:sz w:val="24"/>
              </w:rPr>
            </w:pPr>
            <w:r>
              <w:rPr>
                <w:color w:val="auto"/>
                <w:sz w:val="24"/>
              </w:rPr>
              <w:t>A.物种组成</w:t>
            </w:r>
          </w:p>
          <w:p>
            <w:pPr>
              <w:spacing w:line="360" w:lineRule="auto"/>
              <w:ind w:firstLine="480" w:firstLineChars="200"/>
              <w:rPr>
                <w:color w:val="auto"/>
                <w:sz w:val="24"/>
              </w:rPr>
            </w:pPr>
            <w:r>
              <w:rPr>
                <w:color w:val="auto"/>
                <w:sz w:val="24"/>
              </w:rPr>
              <w:t>根据野外调查和文献，确认在四川嘉陵江源湿地市级自然保护区评价区域内共分布有10种爬行动物，隶属于1目4科。</w:t>
            </w:r>
          </w:p>
          <w:p>
            <w:pPr>
              <w:spacing w:line="360" w:lineRule="auto"/>
              <w:ind w:firstLine="480" w:firstLineChars="200"/>
              <w:rPr>
                <w:color w:val="auto"/>
                <w:sz w:val="24"/>
              </w:rPr>
            </w:pPr>
            <w:r>
              <w:rPr>
                <w:color w:val="auto"/>
                <w:sz w:val="24"/>
              </w:rPr>
              <w:t>B.评价区域内两栖类的生态类型及分布</w:t>
            </w:r>
          </w:p>
          <w:p>
            <w:pPr>
              <w:spacing w:line="360" w:lineRule="auto"/>
              <w:ind w:firstLine="480" w:firstLineChars="200"/>
              <w:rPr>
                <w:color w:val="auto"/>
                <w:sz w:val="24"/>
              </w:rPr>
            </w:pPr>
            <w:r>
              <w:rPr>
                <w:color w:val="auto"/>
                <w:sz w:val="24"/>
              </w:rPr>
              <w:t>根据爬行类的生态习性，将评价区域内的爬行动物分为以下3种类型：</w:t>
            </w:r>
          </w:p>
          <w:p>
            <w:pPr>
              <w:spacing w:line="360" w:lineRule="auto"/>
              <w:ind w:firstLine="480" w:firstLineChars="200"/>
              <w:rPr>
                <w:color w:val="auto"/>
                <w:sz w:val="24"/>
              </w:rPr>
            </w:pPr>
            <w:r>
              <w:rPr>
                <w:color w:val="auto"/>
                <w:sz w:val="24"/>
              </w:rPr>
              <w:t>森林环境：可能分布的爬行类为游蛇科的种类，包括赤链蛇（Dinodon rufozonatum）、黑眉锦蛇（Elaphe taeniura）、乌梢蛇（Zaocys dhumnades）。</w:t>
            </w:r>
          </w:p>
          <w:p>
            <w:pPr>
              <w:spacing w:line="360" w:lineRule="auto"/>
              <w:ind w:firstLine="480" w:firstLineChars="200"/>
              <w:rPr>
                <w:color w:val="auto"/>
                <w:sz w:val="24"/>
              </w:rPr>
            </w:pPr>
            <w:r>
              <w:rPr>
                <w:color w:val="auto"/>
                <w:sz w:val="24"/>
              </w:rPr>
              <w:t>灌丛环境：评价区域分布有丽纹攀蜥（Japalura flaviceps）、有大眼斜鳞蛇（Pseudoxenodon macrops）和乌梢蛇（Zaocys dhumnades）等。</w:t>
            </w:r>
          </w:p>
          <w:p>
            <w:pPr>
              <w:spacing w:line="360" w:lineRule="auto"/>
              <w:ind w:firstLine="480" w:firstLineChars="200"/>
              <w:rPr>
                <w:color w:val="auto"/>
                <w:sz w:val="24"/>
              </w:rPr>
            </w:pPr>
            <w:r>
              <w:rPr>
                <w:color w:val="auto"/>
                <w:sz w:val="24"/>
              </w:rPr>
              <w:t>草地环境：铜蜓蜥（Sphenomorphus indicus）、蓝尾石龙子（Eumeces elegans）、蹼趾壁虎（Gekko subpalmatus）、虎斑颈槽蛇（Rhabdophis tigrinus）等分布。</w:t>
            </w:r>
          </w:p>
          <w:p>
            <w:pPr>
              <w:spacing w:line="360" w:lineRule="auto"/>
              <w:ind w:firstLine="480" w:firstLineChars="200"/>
              <w:rPr>
                <w:color w:val="auto"/>
                <w:sz w:val="24"/>
              </w:rPr>
            </w:pPr>
            <w:r>
              <w:rPr>
                <w:color w:val="auto"/>
                <w:sz w:val="24"/>
              </w:rPr>
              <w:t>C.珍稀保护物种</w:t>
            </w:r>
          </w:p>
          <w:p>
            <w:pPr>
              <w:spacing w:line="360" w:lineRule="auto"/>
              <w:ind w:firstLine="482" w:firstLineChars="200"/>
              <w:rPr>
                <w:b/>
                <w:bCs/>
                <w:color w:val="auto"/>
                <w:sz w:val="24"/>
              </w:rPr>
            </w:pPr>
            <w:r>
              <w:rPr>
                <w:b/>
                <w:bCs/>
                <w:color w:val="auto"/>
                <w:sz w:val="24"/>
              </w:rPr>
              <w:t>调查中未发现属国家及地方保护的爬行类物种。</w:t>
            </w:r>
          </w:p>
          <w:p>
            <w:pPr>
              <w:spacing w:line="360" w:lineRule="auto"/>
              <w:ind w:firstLine="482" w:firstLineChars="200"/>
              <w:rPr>
                <w:b/>
                <w:bCs/>
                <w:color w:val="auto"/>
                <w:sz w:val="24"/>
              </w:rPr>
            </w:pPr>
            <w:r>
              <w:rPr>
                <w:b/>
                <w:bCs/>
                <w:color w:val="auto"/>
                <w:sz w:val="24"/>
              </w:rPr>
              <w:t>③两栖动物</w:t>
            </w:r>
          </w:p>
          <w:p>
            <w:pPr>
              <w:spacing w:line="360" w:lineRule="auto"/>
              <w:ind w:firstLine="480" w:firstLineChars="200"/>
              <w:rPr>
                <w:color w:val="auto"/>
                <w:sz w:val="24"/>
              </w:rPr>
            </w:pPr>
            <w:r>
              <w:rPr>
                <w:color w:val="auto"/>
                <w:sz w:val="24"/>
              </w:rPr>
              <w:t>A.物种组成</w:t>
            </w:r>
          </w:p>
          <w:p>
            <w:pPr>
              <w:spacing w:line="360" w:lineRule="auto"/>
              <w:ind w:firstLine="480" w:firstLineChars="200"/>
              <w:rPr>
                <w:color w:val="auto"/>
                <w:sz w:val="24"/>
              </w:rPr>
            </w:pPr>
            <w:r>
              <w:rPr>
                <w:color w:val="auto"/>
                <w:sz w:val="24"/>
              </w:rPr>
              <w:t>根据野外调查和文献，确认在四川嘉陵江源湿地市级自然保护区评价区域内共分布有两栖动物1目5科8种。</w:t>
            </w:r>
          </w:p>
          <w:p>
            <w:pPr>
              <w:spacing w:line="360" w:lineRule="auto"/>
              <w:ind w:firstLine="480" w:firstLineChars="200"/>
              <w:rPr>
                <w:color w:val="auto"/>
                <w:sz w:val="24"/>
              </w:rPr>
            </w:pPr>
            <w:r>
              <w:rPr>
                <w:color w:val="auto"/>
                <w:sz w:val="24"/>
              </w:rPr>
              <w:t>B.评价区域内两栖类的生态类型及分布</w:t>
            </w:r>
          </w:p>
          <w:p>
            <w:pPr>
              <w:spacing w:line="360" w:lineRule="auto"/>
              <w:ind w:firstLine="480" w:firstLineChars="200"/>
              <w:rPr>
                <w:color w:val="auto"/>
                <w:sz w:val="24"/>
              </w:rPr>
            </w:pPr>
            <w:r>
              <w:rPr>
                <w:color w:val="auto"/>
                <w:sz w:val="24"/>
              </w:rPr>
              <w:t>评价区域的两栖类的生态类型为水、陆两栖类型：在水生和陆生环境中完成其完整的生活史的物种。如中华蟾蜍（Bufo gargarizans） 、川北齿蟾(Oreolalax chuanbeiensis)、泽陆蛙（Fejervarya limnocharis）等。</w:t>
            </w:r>
          </w:p>
          <w:p>
            <w:pPr>
              <w:widowControl/>
              <w:numPr>
                <w:ilvl w:val="0"/>
                <w:numId w:val="8"/>
              </w:numPr>
              <w:adjustRightInd w:val="0"/>
              <w:snapToGrid w:val="0"/>
              <w:jc w:val="center"/>
              <w:rPr>
                <w:b/>
                <w:color w:val="auto"/>
                <w:szCs w:val="18"/>
              </w:rPr>
            </w:pPr>
            <w:r>
              <w:rPr>
                <w:b/>
                <w:color w:val="auto"/>
                <w:szCs w:val="18"/>
              </w:rPr>
              <w:t>评价区域两栖类分布</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2289"/>
              <w:gridCol w:w="1289"/>
              <w:gridCol w:w="1081"/>
              <w:gridCol w:w="38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1351" w:type="pct"/>
                  <w:vAlign w:val="center"/>
                </w:tcPr>
                <w:p>
                  <w:pPr>
                    <w:pStyle w:val="80"/>
                    <w:rPr>
                      <w:color w:val="auto"/>
                      <w:kern w:val="0"/>
                      <w:sz w:val="21"/>
                      <w:szCs w:val="21"/>
                    </w:rPr>
                  </w:pPr>
                  <w:r>
                    <w:rPr>
                      <w:color w:val="auto"/>
                      <w:kern w:val="0"/>
                      <w:sz w:val="21"/>
                      <w:szCs w:val="21"/>
                    </w:rPr>
                    <w:t>种名</w:t>
                  </w:r>
                </w:p>
              </w:tc>
              <w:tc>
                <w:tcPr>
                  <w:tcW w:w="761" w:type="pct"/>
                  <w:vAlign w:val="center"/>
                </w:tcPr>
                <w:p>
                  <w:pPr>
                    <w:pStyle w:val="80"/>
                    <w:rPr>
                      <w:color w:val="auto"/>
                      <w:sz w:val="21"/>
                      <w:szCs w:val="21"/>
                    </w:rPr>
                  </w:pPr>
                  <w:r>
                    <w:rPr>
                      <w:color w:val="auto"/>
                      <w:sz w:val="21"/>
                      <w:szCs w:val="21"/>
                    </w:rPr>
                    <w:t>分布海拔（m）</w:t>
                  </w:r>
                </w:p>
              </w:tc>
              <w:tc>
                <w:tcPr>
                  <w:tcW w:w="638" w:type="pct"/>
                  <w:vAlign w:val="center"/>
                </w:tcPr>
                <w:p>
                  <w:pPr>
                    <w:pStyle w:val="80"/>
                    <w:rPr>
                      <w:color w:val="auto"/>
                      <w:sz w:val="21"/>
                      <w:szCs w:val="21"/>
                    </w:rPr>
                  </w:pPr>
                  <w:r>
                    <w:rPr>
                      <w:color w:val="auto"/>
                      <w:sz w:val="21"/>
                      <w:szCs w:val="21"/>
                    </w:rPr>
                    <w:t>数据来源</w:t>
                  </w:r>
                </w:p>
              </w:tc>
              <w:tc>
                <w:tcPr>
                  <w:tcW w:w="2248" w:type="pct"/>
                  <w:vAlign w:val="center"/>
                </w:tcPr>
                <w:p>
                  <w:pPr>
                    <w:pStyle w:val="80"/>
                    <w:rPr>
                      <w:color w:val="auto"/>
                      <w:sz w:val="21"/>
                      <w:szCs w:val="21"/>
                    </w:rPr>
                  </w:pPr>
                  <w:r>
                    <w:rPr>
                      <w:color w:val="auto"/>
                      <w:sz w:val="21"/>
                      <w:szCs w:val="21"/>
                    </w:rPr>
                    <w:t>生境、习性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中华蟾蜍</w:t>
                  </w:r>
                </w:p>
                <w:p>
                  <w:pPr>
                    <w:widowControl/>
                    <w:jc w:val="center"/>
                    <w:textAlignment w:val="center"/>
                    <w:rPr>
                      <w:color w:val="auto"/>
                      <w:szCs w:val="21"/>
                    </w:rPr>
                  </w:pPr>
                  <w:r>
                    <w:rPr>
                      <w:color w:val="auto"/>
                      <w:szCs w:val="21"/>
                    </w:rPr>
                    <w:t>Bufo gargarizans</w:t>
                  </w:r>
                </w:p>
              </w:tc>
              <w:tc>
                <w:tcPr>
                  <w:tcW w:w="761" w:type="pct"/>
                  <w:vAlign w:val="center"/>
                </w:tcPr>
                <w:p>
                  <w:pPr>
                    <w:widowControl/>
                    <w:jc w:val="center"/>
                    <w:textAlignment w:val="center"/>
                    <w:rPr>
                      <w:color w:val="auto"/>
                      <w:szCs w:val="21"/>
                    </w:rPr>
                  </w:pPr>
                  <w:r>
                    <w:rPr>
                      <w:color w:val="auto"/>
                      <w:szCs w:val="21"/>
                    </w:rPr>
                    <w:t>500-740</w:t>
                  </w:r>
                </w:p>
              </w:tc>
              <w:tc>
                <w:tcPr>
                  <w:tcW w:w="638" w:type="pct"/>
                  <w:vAlign w:val="center"/>
                </w:tcPr>
                <w:p>
                  <w:pPr>
                    <w:widowControl/>
                    <w:jc w:val="center"/>
                    <w:textAlignment w:val="center"/>
                    <w:rPr>
                      <w:color w:val="auto"/>
                      <w:szCs w:val="21"/>
                    </w:rPr>
                  </w:pPr>
                  <w:r>
                    <w:rPr>
                      <w:color w:val="auto"/>
                      <w:szCs w:val="21"/>
                    </w:rPr>
                    <w:t>调查</w:t>
                  </w:r>
                </w:p>
              </w:tc>
              <w:tc>
                <w:tcPr>
                  <w:tcW w:w="2248" w:type="pct"/>
                  <w:vAlign w:val="center"/>
                </w:tcPr>
                <w:p>
                  <w:pPr>
                    <w:widowControl/>
                    <w:jc w:val="center"/>
                    <w:textAlignment w:val="center"/>
                    <w:rPr>
                      <w:color w:val="auto"/>
                      <w:szCs w:val="21"/>
                    </w:rPr>
                  </w:pPr>
                  <w:r>
                    <w:rPr>
                      <w:color w:val="auto"/>
                      <w:szCs w:val="21"/>
                    </w:rPr>
                    <w:t>栖息于在草地、农田、灌丛边缘地带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川北齿蟾</w:t>
                  </w:r>
                </w:p>
                <w:p>
                  <w:pPr>
                    <w:widowControl/>
                    <w:jc w:val="center"/>
                    <w:textAlignment w:val="center"/>
                    <w:rPr>
                      <w:color w:val="auto"/>
                      <w:szCs w:val="21"/>
                    </w:rPr>
                  </w:pPr>
                  <w:r>
                    <w:rPr>
                      <w:color w:val="auto"/>
                      <w:szCs w:val="21"/>
                    </w:rPr>
                    <w:t>Oreolalax chuanbeiensis</w:t>
                  </w:r>
                </w:p>
              </w:tc>
              <w:tc>
                <w:tcPr>
                  <w:tcW w:w="761" w:type="pct"/>
                  <w:vAlign w:val="center"/>
                </w:tcPr>
                <w:p>
                  <w:pPr>
                    <w:widowControl/>
                    <w:jc w:val="center"/>
                    <w:textAlignment w:val="center"/>
                    <w:rPr>
                      <w:color w:val="auto"/>
                      <w:szCs w:val="21"/>
                    </w:rPr>
                  </w:pPr>
                  <w:r>
                    <w:rPr>
                      <w:color w:val="auto"/>
                      <w:szCs w:val="21"/>
                    </w:rPr>
                    <w:t>600-6730</w:t>
                  </w:r>
                </w:p>
              </w:tc>
              <w:tc>
                <w:tcPr>
                  <w:tcW w:w="638" w:type="pct"/>
                  <w:vAlign w:val="center"/>
                </w:tcPr>
                <w:p>
                  <w:pPr>
                    <w:widowControl/>
                    <w:jc w:val="center"/>
                    <w:textAlignment w:val="center"/>
                    <w:rPr>
                      <w:color w:val="auto"/>
                      <w:szCs w:val="21"/>
                    </w:rPr>
                  </w:pPr>
                  <w:r>
                    <w:rPr>
                      <w:color w:val="auto"/>
                      <w:szCs w:val="21"/>
                    </w:rPr>
                    <w:t>资料</w:t>
                  </w:r>
                </w:p>
              </w:tc>
              <w:tc>
                <w:tcPr>
                  <w:tcW w:w="2248" w:type="pct"/>
                  <w:vAlign w:val="center"/>
                </w:tcPr>
                <w:p>
                  <w:pPr>
                    <w:widowControl/>
                    <w:jc w:val="center"/>
                    <w:textAlignment w:val="center"/>
                    <w:rPr>
                      <w:color w:val="auto"/>
                      <w:szCs w:val="21"/>
                    </w:rPr>
                  </w:pPr>
                  <w:r>
                    <w:rPr>
                      <w:color w:val="auto"/>
                      <w:szCs w:val="21"/>
                    </w:rPr>
                    <w:t>栖息于在草地、农田、灌丛边缘地带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泽陆蛙</w:t>
                  </w:r>
                </w:p>
                <w:p>
                  <w:pPr>
                    <w:widowControl/>
                    <w:jc w:val="center"/>
                    <w:textAlignment w:val="center"/>
                    <w:rPr>
                      <w:color w:val="auto"/>
                      <w:szCs w:val="21"/>
                    </w:rPr>
                  </w:pPr>
                  <w:r>
                    <w:rPr>
                      <w:color w:val="auto"/>
                      <w:szCs w:val="21"/>
                    </w:rPr>
                    <w:t>Fejervarya limnocharis</w:t>
                  </w:r>
                </w:p>
              </w:tc>
              <w:tc>
                <w:tcPr>
                  <w:tcW w:w="761" w:type="pct"/>
                  <w:vAlign w:val="center"/>
                </w:tcPr>
                <w:p>
                  <w:pPr>
                    <w:widowControl/>
                    <w:jc w:val="center"/>
                    <w:textAlignment w:val="center"/>
                    <w:rPr>
                      <w:color w:val="auto"/>
                      <w:szCs w:val="21"/>
                    </w:rPr>
                  </w:pPr>
                  <w:r>
                    <w:rPr>
                      <w:color w:val="auto"/>
                      <w:szCs w:val="21"/>
                    </w:rPr>
                    <w:t>500-750</w:t>
                  </w:r>
                </w:p>
              </w:tc>
              <w:tc>
                <w:tcPr>
                  <w:tcW w:w="638" w:type="pct"/>
                  <w:vAlign w:val="center"/>
                </w:tcPr>
                <w:p>
                  <w:pPr>
                    <w:widowControl/>
                    <w:jc w:val="center"/>
                    <w:textAlignment w:val="center"/>
                    <w:rPr>
                      <w:color w:val="auto"/>
                      <w:szCs w:val="21"/>
                    </w:rPr>
                  </w:pPr>
                  <w:r>
                    <w:rPr>
                      <w:color w:val="auto"/>
                      <w:szCs w:val="21"/>
                    </w:rPr>
                    <w:t>资料</w:t>
                  </w:r>
                </w:p>
              </w:tc>
              <w:tc>
                <w:tcPr>
                  <w:tcW w:w="2248" w:type="pct"/>
                  <w:vAlign w:val="center"/>
                </w:tcPr>
                <w:p>
                  <w:pPr>
                    <w:widowControl/>
                    <w:jc w:val="center"/>
                    <w:textAlignment w:val="center"/>
                    <w:rPr>
                      <w:color w:val="auto"/>
                      <w:szCs w:val="21"/>
                    </w:rPr>
                  </w:pPr>
                  <w:r>
                    <w:rPr>
                      <w:color w:val="auto"/>
                      <w:szCs w:val="21"/>
                    </w:rPr>
                    <w:t>栖息于山岭地带近水域的草间或树林内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黑斑侧褶蛙</w:t>
                  </w:r>
                </w:p>
                <w:p>
                  <w:pPr>
                    <w:widowControl/>
                    <w:jc w:val="center"/>
                    <w:textAlignment w:val="center"/>
                    <w:rPr>
                      <w:color w:val="auto"/>
                      <w:szCs w:val="21"/>
                    </w:rPr>
                  </w:pPr>
                  <w:r>
                    <w:rPr>
                      <w:color w:val="auto"/>
                      <w:szCs w:val="21"/>
                    </w:rPr>
                    <w:t>Pelophylax nigromaculata</w:t>
                  </w:r>
                </w:p>
              </w:tc>
              <w:tc>
                <w:tcPr>
                  <w:tcW w:w="761" w:type="pct"/>
                  <w:vAlign w:val="center"/>
                </w:tcPr>
                <w:p>
                  <w:pPr>
                    <w:widowControl/>
                    <w:jc w:val="center"/>
                    <w:textAlignment w:val="center"/>
                    <w:rPr>
                      <w:color w:val="auto"/>
                      <w:szCs w:val="21"/>
                    </w:rPr>
                  </w:pPr>
                  <w:r>
                    <w:rPr>
                      <w:color w:val="auto"/>
                      <w:szCs w:val="21"/>
                    </w:rPr>
                    <w:t>500-750</w:t>
                  </w:r>
                </w:p>
              </w:tc>
              <w:tc>
                <w:tcPr>
                  <w:tcW w:w="638" w:type="pct"/>
                  <w:vAlign w:val="center"/>
                </w:tcPr>
                <w:p>
                  <w:pPr>
                    <w:widowControl/>
                    <w:jc w:val="center"/>
                    <w:textAlignment w:val="center"/>
                    <w:rPr>
                      <w:color w:val="auto"/>
                      <w:szCs w:val="21"/>
                    </w:rPr>
                  </w:pPr>
                  <w:r>
                    <w:rPr>
                      <w:color w:val="auto"/>
                      <w:szCs w:val="21"/>
                    </w:rPr>
                    <w:t>调查</w:t>
                  </w:r>
                </w:p>
              </w:tc>
              <w:tc>
                <w:tcPr>
                  <w:tcW w:w="2248" w:type="pct"/>
                  <w:vAlign w:val="center"/>
                </w:tcPr>
                <w:p>
                  <w:pPr>
                    <w:widowControl/>
                    <w:jc w:val="center"/>
                    <w:textAlignment w:val="center"/>
                    <w:rPr>
                      <w:color w:val="auto"/>
                      <w:szCs w:val="21"/>
                    </w:rPr>
                  </w:pPr>
                  <w:r>
                    <w:rPr>
                      <w:color w:val="auto"/>
                      <w:szCs w:val="21"/>
                    </w:rPr>
                    <w:t>常栖息于池塘、水沟、稻田、小河和沼泽及其它阴凉、潮湿、安静的地方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沼水蛙</w:t>
                  </w:r>
                </w:p>
                <w:p>
                  <w:pPr>
                    <w:widowControl/>
                    <w:jc w:val="center"/>
                    <w:textAlignment w:val="center"/>
                    <w:rPr>
                      <w:color w:val="auto"/>
                      <w:szCs w:val="21"/>
                    </w:rPr>
                  </w:pPr>
                  <w:r>
                    <w:rPr>
                      <w:color w:val="auto"/>
                      <w:szCs w:val="21"/>
                    </w:rPr>
                    <w:t>Hylarana guentheri</w:t>
                  </w:r>
                </w:p>
              </w:tc>
              <w:tc>
                <w:tcPr>
                  <w:tcW w:w="761" w:type="pct"/>
                  <w:vAlign w:val="center"/>
                </w:tcPr>
                <w:p>
                  <w:pPr>
                    <w:widowControl/>
                    <w:jc w:val="center"/>
                    <w:textAlignment w:val="center"/>
                    <w:rPr>
                      <w:color w:val="auto"/>
                      <w:szCs w:val="21"/>
                    </w:rPr>
                  </w:pPr>
                  <w:r>
                    <w:rPr>
                      <w:color w:val="auto"/>
                      <w:szCs w:val="21"/>
                    </w:rPr>
                    <w:t>500-650</w:t>
                  </w:r>
                </w:p>
              </w:tc>
              <w:tc>
                <w:tcPr>
                  <w:tcW w:w="638" w:type="pct"/>
                  <w:vAlign w:val="center"/>
                </w:tcPr>
                <w:p>
                  <w:pPr>
                    <w:widowControl/>
                    <w:jc w:val="center"/>
                    <w:textAlignment w:val="center"/>
                    <w:rPr>
                      <w:color w:val="auto"/>
                      <w:szCs w:val="21"/>
                    </w:rPr>
                  </w:pPr>
                  <w:r>
                    <w:rPr>
                      <w:color w:val="auto"/>
                      <w:szCs w:val="21"/>
                    </w:rPr>
                    <w:t>调查</w:t>
                  </w:r>
                </w:p>
              </w:tc>
              <w:tc>
                <w:tcPr>
                  <w:tcW w:w="2248" w:type="pct"/>
                  <w:vAlign w:val="center"/>
                </w:tcPr>
                <w:p>
                  <w:pPr>
                    <w:widowControl/>
                    <w:jc w:val="center"/>
                    <w:textAlignment w:val="center"/>
                    <w:rPr>
                      <w:color w:val="auto"/>
                      <w:szCs w:val="21"/>
                    </w:rPr>
                  </w:pPr>
                  <w:r>
                    <w:rPr>
                      <w:color w:val="auto"/>
                      <w:szCs w:val="21"/>
                    </w:rPr>
                    <w:t>多栖息于稻田、菜园、池塘、山沟等地，常隐蔽在水生植物丛间、杂草中，白天隐蔽，夜晚出来活动觅食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小角蟾</w:t>
                  </w:r>
                </w:p>
                <w:p>
                  <w:pPr>
                    <w:widowControl/>
                    <w:jc w:val="center"/>
                    <w:textAlignment w:val="center"/>
                    <w:rPr>
                      <w:color w:val="auto"/>
                      <w:szCs w:val="21"/>
                    </w:rPr>
                  </w:pPr>
                  <w:r>
                    <w:rPr>
                      <w:color w:val="auto"/>
                      <w:szCs w:val="21"/>
                    </w:rPr>
                    <w:t>Megophrys minor</w:t>
                  </w:r>
                </w:p>
              </w:tc>
              <w:tc>
                <w:tcPr>
                  <w:tcW w:w="761" w:type="pct"/>
                  <w:vAlign w:val="center"/>
                </w:tcPr>
                <w:p>
                  <w:pPr>
                    <w:widowControl/>
                    <w:jc w:val="center"/>
                    <w:textAlignment w:val="center"/>
                    <w:rPr>
                      <w:color w:val="auto"/>
                      <w:szCs w:val="21"/>
                    </w:rPr>
                  </w:pPr>
                  <w:r>
                    <w:rPr>
                      <w:color w:val="auto"/>
                      <w:szCs w:val="21"/>
                    </w:rPr>
                    <w:t>500-750</w:t>
                  </w:r>
                </w:p>
              </w:tc>
              <w:tc>
                <w:tcPr>
                  <w:tcW w:w="638" w:type="pct"/>
                  <w:vAlign w:val="center"/>
                </w:tcPr>
                <w:p>
                  <w:pPr>
                    <w:widowControl/>
                    <w:jc w:val="center"/>
                    <w:textAlignment w:val="center"/>
                    <w:rPr>
                      <w:color w:val="auto"/>
                      <w:szCs w:val="21"/>
                    </w:rPr>
                  </w:pPr>
                  <w:r>
                    <w:rPr>
                      <w:color w:val="auto"/>
                      <w:szCs w:val="21"/>
                    </w:rPr>
                    <w:t>资料</w:t>
                  </w:r>
                </w:p>
              </w:tc>
              <w:tc>
                <w:tcPr>
                  <w:tcW w:w="2248" w:type="pct"/>
                  <w:vAlign w:val="center"/>
                </w:tcPr>
                <w:p>
                  <w:pPr>
                    <w:widowControl/>
                    <w:jc w:val="center"/>
                    <w:textAlignment w:val="center"/>
                    <w:rPr>
                      <w:color w:val="auto"/>
                      <w:szCs w:val="21"/>
                    </w:rPr>
                  </w:pPr>
                  <w:r>
                    <w:rPr>
                      <w:color w:val="auto"/>
                      <w:szCs w:val="21"/>
                    </w:rPr>
                    <w:t>多栖息于池塘、山沟、溪流附近的草丛，主要以多种昆虫为食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斑腿泛树蛙</w:t>
                  </w:r>
                </w:p>
                <w:p>
                  <w:pPr>
                    <w:widowControl/>
                    <w:jc w:val="center"/>
                    <w:textAlignment w:val="center"/>
                    <w:rPr>
                      <w:color w:val="auto"/>
                      <w:szCs w:val="21"/>
                    </w:rPr>
                  </w:pPr>
                  <w:r>
                    <w:rPr>
                      <w:color w:val="auto"/>
                      <w:szCs w:val="21"/>
                    </w:rPr>
                    <w:t>Rhacophorus megacephalus</w:t>
                  </w:r>
                </w:p>
              </w:tc>
              <w:tc>
                <w:tcPr>
                  <w:tcW w:w="761" w:type="pct"/>
                  <w:vAlign w:val="center"/>
                </w:tcPr>
                <w:p>
                  <w:pPr>
                    <w:widowControl/>
                    <w:jc w:val="center"/>
                    <w:textAlignment w:val="center"/>
                    <w:rPr>
                      <w:color w:val="auto"/>
                      <w:szCs w:val="21"/>
                    </w:rPr>
                  </w:pPr>
                  <w:r>
                    <w:rPr>
                      <w:color w:val="auto"/>
                      <w:szCs w:val="21"/>
                    </w:rPr>
                    <w:t>500-750</w:t>
                  </w:r>
                </w:p>
              </w:tc>
              <w:tc>
                <w:tcPr>
                  <w:tcW w:w="638" w:type="pct"/>
                  <w:vAlign w:val="center"/>
                </w:tcPr>
                <w:p>
                  <w:pPr>
                    <w:widowControl/>
                    <w:jc w:val="center"/>
                    <w:textAlignment w:val="center"/>
                    <w:rPr>
                      <w:color w:val="auto"/>
                      <w:szCs w:val="21"/>
                    </w:rPr>
                  </w:pPr>
                  <w:r>
                    <w:rPr>
                      <w:color w:val="auto"/>
                      <w:szCs w:val="21"/>
                    </w:rPr>
                    <w:t>资料</w:t>
                  </w:r>
                </w:p>
              </w:tc>
              <w:tc>
                <w:tcPr>
                  <w:tcW w:w="2248" w:type="pct"/>
                  <w:vAlign w:val="center"/>
                </w:tcPr>
                <w:p>
                  <w:pPr>
                    <w:widowControl/>
                    <w:jc w:val="center"/>
                    <w:textAlignment w:val="center"/>
                    <w:rPr>
                      <w:color w:val="auto"/>
                      <w:szCs w:val="21"/>
                    </w:rPr>
                  </w:pPr>
                  <w:r>
                    <w:rPr>
                      <w:color w:val="auto"/>
                      <w:szCs w:val="21"/>
                    </w:rPr>
                    <w:t>栖息在山区稻田、草丛、水塘等处，以多种昆虫及其幼虫为食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351" w:type="pct"/>
                  <w:vAlign w:val="center"/>
                </w:tcPr>
                <w:p>
                  <w:pPr>
                    <w:widowControl/>
                    <w:jc w:val="center"/>
                    <w:textAlignment w:val="center"/>
                    <w:rPr>
                      <w:color w:val="auto"/>
                      <w:szCs w:val="21"/>
                    </w:rPr>
                  </w:pPr>
                  <w:r>
                    <w:rPr>
                      <w:color w:val="auto"/>
                      <w:szCs w:val="21"/>
                    </w:rPr>
                    <w:t>四川狭口蛙</w:t>
                  </w:r>
                </w:p>
                <w:p>
                  <w:pPr>
                    <w:widowControl/>
                    <w:jc w:val="center"/>
                    <w:textAlignment w:val="center"/>
                    <w:rPr>
                      <w:color w:val="auto"/>
                      <w:szCs w:val="21"/>
                    </w:rPr>
                  </w:pPr>
                  <w:r>
                    <w:rPr>
                      <w:color w:val="auto"/>
                      <w:szCs w:val="21"/>
                    </w:rPr>
                    <w:t>Kaloula rugifera</w:t>
                  </w:r>
                </w:p>
              </w:tc>
              <w:tc>
                <w:tcPr>
                  <w:tcW w:w="761" w:type="pct"/>
                  <w:vAlign w:val="center"/>
                </w:tcPr>
                <w:p>
                  <w:pPr>
                    <w:widowControl/>
                    <w:jc w:val="center"/>
                    <w:textAlignment w:val="center"/>
                    <w:rPr>
                      <w:color w:val="auto"/>
                      <w:szCs w:val="21"/>
                    </w:rPr>
                  </w:pPr>
                  <w:r>
                    <w:rPr>
                      <w:color w:val="auto"/>
                      <w:szCs w:val="21"/>
                    </w:rPr>
                    <w:t>500-700</w:t>
                  </w:r>
                </w:p>
              </w:tc>
              <w:tc>
                <w:tcPr>
                  <w:tcW w:w="638" w:type="pct"/>
                  <w:vAlign w:val="center"/>
                </w:tcPr>
                <w:p>
                  <w:pPr>
                    <w:widowControl/>
                    <w:jc w:val="center"/>
                    <w:textAlignment w:val="center"/>
                    <w:rPr>
                      <w:color w:val="auto"/>
                      <w:szCs w:val="21"/>
                    </w:rPr>
                  </w:pPr>
                  <w:r>
                    <w:rPr>
                      <w:color w:val="auto"/>
                      <w:szCs w:val="21"/>
                    </w:rPr>
                    <w:t>资料</w:t>
                  </w:r>
                </w:p>
              </w:tc>
              <w:tc>
                <w:tcPr>
                  <w:tcW w:w="2248" w:type="pct"/>
                  <w:vAlign w:val="center"/>
                </w:tcPr>
                <w:p>
                  <w:pPr>
                    <w:widowControl/>
                    <w:jc w:val="center"/>
                    <w:textAlignment w:val="center"/>
                    <w:rPr>
                      <w:color w:val="auto"/>
                      <w:szCs w:val="21"/>
                    </w:rPr>
                  </w:pPr>
                  <w:r>
                    <w:rPr>
                      <w:color w:val="auto"/>
                      <w:szCs w:val="21"/>
                    </w:rPr>
                    <w:t>栖息在房屋附近或山边石崖下或土穴内，主要以多种昆虫为食</w:t>
                  </w:r>
                </w:p>
              </w:tc>
            </w:tr>
          </w:tbl>
          <w:p>
            <w:pPr>
              <w:spacing w:line="360" w:lineRule="auto"/>
              <w:ind w:firstLine="480" w:firstLineChars="200"/>
              <w:rPr>
                <w:color w:val="auto"/>
                <w:sz w:val="24"/>
              </w:rPr>
            </w:pPr>
            <w:r>
              <w:rPr>
                <w:color w:val="auto"/>
                <w:sz w:val="24"/>
              </w:rPr>
              <w:t>C.珍稀保护物种和特有种</w:t>
            </w:r>
          </w:p>
          <w:p>
            <w:pPr>
              <w:spacing w:line="360" w:lineRule="auto"/>
              <w:ind w:firstLine="482" w:firstLineChars="200"/>
              <w:rPr>
                <w:b/>
                <w:bCs/>
                <w:color w:val="auto"/>
                <w:sz w:val="24"/>
              </w:rPr>
            </w:pPr>
            <w:r>
              <w:rPr>
                <w:b/>
                <w:bCs/>
                <w:color w:val="auto"/>
                <w:sz w:val="24"/>
              </w:rPr>
              <w:t>调查中未发现属国家及地方保护的两栖类物种。</w:t>
            </w:r>
          </w:p>
          <w:p>
            <w:pPr>
              <w:spacing w:line="360" w:lineRule="auto"/>
              <w:ind w:firstLine="482" w:firstLineChars="200"/>
              <w:rPr>
                <w:b/>
                <w:bCs/>
                <w:color w:val="auto"/>
                <w:sz w:val="24"/>
              </w:rPr>
            </w:pPr>
            <w:r>
              <w:rPr>
                <w:b/>
                <w:bCs/>
                <w:color w:val="auto"/>
                <w:sz w:val="24"/>
              </w:rPr>
              <w:t>④鸟类</w:t>
            </w:r>
          </w:p>
          <w:p>
            <w:pPr>
              <w:spacing w:line="360" w:lineRule="auto"/>
              <w:ind w:firstLine="480" w:firstLineChars="200"/>
              <w:rPr>
                <w:color w:val="auto"/>
                <w:sz w:val="24"/>
              </w:rPr>
            </w:pPr>
            <w:r>
              <w:rPr>
                <w:color w:val="auto"/>
                <w:sz w:val="24"/>
              </w:rPr>
              <w:t>A.物种组成及居留类型</w:t>
            </w:r>
          </w:p>
          <w:p>
            <w:pPr>
              <w:spacing w:line="360" w:lineRule="auto"/>
              <w:ind w:firstLine="480" w:firstLineChars="200"/>
              <w:rPr>
                <w:color w:val="auto"/>
                <w:sz w:val="24"/>
              </w:rPr>
            </w:pPr>
            <w:r>
              <w:rPr>
                <w:color w:val="auto"/>
                <w:sz w:val="24"/>
              </w:rPr>
              <w:t>根据野外调查和文献，确认在四川嘉陵江源湿地市级自然保护区评价区域内鸟类有13目29科81种，其中非雀形目23种，占28.4%；雀形目58种，占71.6%。</w:t>
            </w:r>
          </w:p>
          <w:p>
            <w:pPr>
              <w:widowControl/>
              <w:numPr>
                <w:ilvl w:val="0"/>
                <w:numId w:val="8"/>
              </w:numPr>
              <w:adjustRightInd w:val="0"/>
              <w:snapToGrid w:val="0"/>
              <w:jc w:val="center"/>
              <w:rPr>
                <w:b/>
                <w:color w:val="auto"/>
                <w:szCs w:val="18"/>
              </w:rPr>
            </w:pPr>
            <w:r>
              <w:rPr>
                <w:b/>
                <w:color w:val="auto"/>
                <w:szCs w:val="18"/>
              </w:rPr>
              <w:t>评价区域鸟类物种组成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2377"/>
              <w:gridCol w:w="2377"/>
              <w:gridCol w:w="1238"/>
              <w:gridCol w:w="1238"/>
              <w:gridCol w:w="12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1402" w:type="pct"/>
                  <w:vAlign w:val="center"/>
                </w:tcPr>
                <w:p>
                  <w:pPr>
                    <w:pStyle w:val="80"/>
                    <w:rPr>
                      <w:color w:val="auto"/>
                      <w:kern w:val="0"/>
                      <w:sz w:val="21"/>
                      <w:szCs w:val="21"/>
                    </w:rPr>
                  </w:pPr>
                  <w:r>
                    <w:rPr>
                      <w:color w:val="auto"/>
                      <w:kern w:val="0"/>
                      <w:sz w:val="21"/>
                      <w:szCs w:val="21"/>
                    </w:rPr>
                    <w:t>目名</w:t>
                  </w:r>
                </w:p>
              </w:tc>
              <w:tc>
                <w:tcPr>
                  <w:tcW w:w="1402" w:type="pct"/>
                  <w:vAlign w:val="center"/>
                </w:tcPr>
                <w:p>
                  <w:pPr>
                    <w:pStyle w:val="80"/>
                    <w:rPr>
                      <w:color w:val="auto"/>
                      <w:sz w:val="21"/>
                      <w:szCs w:val="21"/>
                    </w:rPr>
                  </w:pPr>
                  <w:r>
                    <w:rPr>
                      <w:color w:val="auto"/>
                      <w:sz w:val="21"/>
                      <w:szCs w:val="21"/>
                    </w:rPr>
                    <w:t>科名</w:t>
                  </w:r>
                </w:p>
              </w:tc>
              <w:tc>
                <w:tcPr>
                  <w:tcW w:w="731" w:type="pct"/>
                  <w:vAlign w:val="center"/>
                </w:tcPr>
                <w:p>
                  <w:pPr>
                    <w:pStyle w:val="80"/>
                    <w:rPr>
                      <w:color w:val="auto"/>
                      <w:sz w:val="21"/>
                      <w:szCs w:val="21"/>
                    </w:rPr>
                  </w:pPr>
                  <w:r>
                    <w:rPr>
                      <w:color w:val="auto"/>
                      <w:sz w:val="21"/>
                      <w:szCs w:val="21"/>
                    </w:rPr>
                    <w:t>属数</w:t>
                  </w:r>
                </w:p>
              </w:tc>
              <w:tc>
                <w:tcPr>
                  <w:tcW w:w="731" w:type="pct"/>
                  <w:vAlign w:val="center"/>
                </w:tcPr>
                <w:p>
                  <w:pPr>
                    <w:pStyle w:val="80"/>
                    <w:rPr>
                      <w:color w:val="auto"/>
                      <w:sz w:val="21"/>
                      <w:szCs w:val="21"/>
                    </w:rPr>
                  </w:pPr>
                  <w:r>
                    <w:rPr>
                      <w:color w:val="auto"/>
                      <w:sz w:val="21"/>
                      <w:szCs w:val="21"/>
                    </w:rPr>
                    <w:t>种数</w:t>
                  </w:r>
                </w:p>
              </w:tc>
              <w:tc>
                <w:tcPr>
                  <w:tcW w:w="731" w:type="pct"/>
                  <w:vAlign w:val="center"/>
                </w:tcPr>
                <w:p>
                  <w:pPr>
                    <w:pStyle w:val="80"/>
                    <w:rPr>
                      <w:color w:val="auto"/>
                      <w:sz w:val="21"/>
                      <w:szCs w:val="21"/>
                    </w:rPr>
                  </w:pPr>
                  <w:r>
                    <w:rPr>
                      <w:color w:val="auto"/>
                      <w:sz w:val="21"/>
                      <w:szCs w:val="21"/>
                    </w:rPr>
                    <w:t>占比%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䴘目 PODICIPEDIFORMES</w:t>
                  </w:r>
                </w:p>
              </w:tc>
              <w:tc>
                <w:tcPr>
                  <w:tcW w:w="1402" w:type="pct"/>
                  <w:vAlign w:val="center"/>
                </w:tcPr>
                <w:p>
                  <w:pPr>
                    <w:widowControl/>
                    <w:jc w:val="center"/>
                    <w:textAlignment w:val="center"/>
                    <w:rPr>
                      <w:color w:val="auto"/>
                    </w:rPr>
                  </w:pPr>
                  <w:r>
                    <w:rPr>
                      <w:color w:val="auto"/>
                    </w:rPr>
                    <w:t>䴙.科 Podicipedidae</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鸬鹚目 PELECANIFORMES</w:t>
                  </w:r>
                </w:p>
              </w:tc>
              <w:tc>
                <w:tcPr>
                  <w:tcW w:w="1402" w:type="pct"/>
                  <w:vAlign w:val="center"/>
                </w:tcPr>
                <w:p>
                  <w:pPr>
                    <w:widowControl/>
                    <w:jc w:val="center"/>
                    <w:textAlignment w:val="center"/>
                    <w:rPr>
                      <w:color w:val="auto"/>
                    </w:rPr>
                  </w:pPr>
                  <w:r>
                    <w:rPr>
                      <w:color w:val="auto"/>
                    </w:rPr>
                    <w:t>鸬鹚科 Phalacrocoracidae</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鹳形目 CICONIIFORMES</w:t>
                  </w:r>
                </w:p>
              </w:tc>
              <w:tc>
                <w:tcPr>
                  <w:tcW w:w="1402" w:type="pct"/>
                  <w:vAlign w:val="center"/>
                </w:tcPr>
                <w:p>
                  <w:pPr>
                    <w:widowControl/>
                    <w:jc w:val="center"/>
                    <w:textAlignment w:val="center"/>
                    <w:rPr>
                      <w:color w:val="auto"/>
                    </w:rPr>
                  </w:pPr>
                  <w:r>
                    <w:rPr>
                      <w:color w:val="auto"/>
                    </w:rPr>
                    <w:t>鹭科 Ardeidae</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雁形目 ANSERIFORMES</w:t>
                  </w:r>
                </w:p>
              </w:tc>
              <w:tc>
                <w:tcPr>
                  <w:tcW w:w="1402" w:type="pct"/>
                  <w:vAlign w:val="center"/>
                </w:tcPr>
                <w:p>
                  <w:pPr>
                    <w:widowControl/>
                    <w:jc w:val="center"/>
                    <w:textAlignment w:val="center"/>
                    <w:rPr>
                      <w:color w:val="auto"/>
                    </w:rPr>
                  </w:pPr>
                  <w:r>
                    <w:rPr>
                      <w:color w:val="auto"/>
                    </w:rPr>
                    <w:t>鸭科 Anatidae</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2</w:t>
                  </w:r>
                </w:p>
              </w:tc>
              <w:tc>
                <w:tcPr>
                  <w:tcW w:w="731" w:type="pct"/>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鸡形目 GALLIFORMES</w:t>
                  </w:r>
                </w:p>
              </w:tc>
              <w:tc>
                <w:tcPr>
                  <w:tcW w:w="1402" w:type="pct"/>
                  <w:vAlign w:val="center"/>
                </w:tcPr>
                <w:p>
                  <w:pPr>
                    <w:widowControl/>
                    <w:jc w:val="center"/>
                    <w:textAlignment w:val="center"/>
                    <w:rPr>
                      <w:color w:val="auto"/>
                    </w:rPr>
                  </w:pPr>
                  <w:r>
                    <w:rPr>
                      <w:color w:val="auto"/>
                    </w:rPr>
                    <w:t>雉科 Phasianidae</w:t>
                  </w:r>
                </w:p>
              </w:tc>
              <w:tc>
                <w:tcPr>
                  <w:tcW w:w="731" w:type="pct"/>
                  <w:vAlign w:val="center"/>
                </w:tcPr>
                <w:p>
                  <w:pPr>
                    <w:widowControl/>
                    <w:jc w:val="center"/>
                    <w:textAlignment w:val="center"/>
                    <w:rPr>
                      <w:color w:val="auto"/>
                    </w:rPr>
                  </w:pPr>
                  <w:r>
                    <w:rPr>
                      <w:color w:val="auto"/>
                    </w:rPr>
                    <w:t>2</w:t>
                  </w:r>
                </w:p>
              </w:tc>
              <w:tc>
                <w:tcPr>
                  <w:tcW w:w="731" w:type="pct"/>
                  <w:vAlign w:val="center"/>
                </w:tcPr>
                <w:p>
                  <w:pPr>
                    <w:widowControl/>
                    <w:jc w:val="center"/>
                    <w:textAlignment w:val="center"/>
                    <w:rPr>
                      <w:color w:val="auto"/>
                    </w:rPr>
                  </w:pPr>
                  <w:r>
                    <w:rPr>
                      <w:color w:val="auto"/>
                    </w:rPr>
                    <w:t>2</w:t>
                  </w:r>
                </w:p>
              </w:tc>
              <w:tc>
                <w:tcPr>
                  <w:tcW w:w="731" w:type="pct"/>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鸻形目 CHARADRIIFORMES</w:t>
                  </w:r>
                </w:p>
              </w:tc>
              <w:tc>
                <w:tcPr>
                  <w:tcW w:w="1402" w:type="pct"/>
                  <w:vAlign w:val="center"/>
                </w:tcPr>
                <w:p>
                  <w:pPr>
                    <w:widowControl/>
                    <w:jc w:val="center"/>
                    <w:textAlignment w:val="center"/>
                    <w:rPr>
                      <w:color w:val="auto"/>
                    </w:rPr>
                  </w:pPr>
                  <w:r>
                    <w:rPr>
                      <w:color w:val="auto"/>
                    </w:rPr>
                    <w:t>鸻科 Charadriidae</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2</w:t>
                  </w:r>
                </w:p>
              </w:tc>
              <w:tc>
                <w:tcPr>
                  <w:tcW w:w="731" w:type="pct"/>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鸽形目 COLUMBIFORMES</w:t>
                  </w:r>
                </w:p>
              </w:tc>
              <w:tc>
                <w:tcPr>
                  <w:tcW w:w="1402" w:type="pct"/>
                  <w:vAlign w:val="center"/>
                </w:tcPr>
                <w:p>
                  <w:pPr>
                    <w:widowControl/>
                    <w:jc w:val="center"/>
                    <w:textAlignment w:val="center"/>
                    <w:rPr>
                      <w:color w:val="auto"/>
                    </w:rPr>
                  </w:pPr>
                  <w:r>
                    <w:rPr>
                      <w:color w:val="auto"/>
                    </w:rPr>
                    <w:t>鸠鸽科 Columbidae</w:t>
                  </w:r>
                </w:p>
              </w:tc>
              <w:tc>
                <w:tcPr>
                  <w:tcW w:w="731" w:type="pct"/>
                  <w:vAlign w:val="center"/>
                </w:tcPr>
                <w:p>
                  <w:pPr>
                    <w:widowControl/>
                    <w:jc w:val="center"/>
                    <w:textAlignment w:val="center"/>
                    <w:rPr>
                      <w:color w:val="auto"/>
                    </w:rPr>
                  </w:pPr>
                  <w:r>
                    <w:rPr>
                      <w:color w:val="auto"/>
                    </w:rPr>
                    <w:t>2</w:t>
                  </w:r>
                </w:p>
              </w:tc>
              <w:tc>
                <w:tcPr>
                  <w:tcW w:w="731" w:type="pct"/>
                  <w:vAlign w:val="center"/>
                </w:tcPr>
                <w:p>
                  <w:pPr>
                    <w:widowControl/>
                    <w:jc w:val="center"/>
                    <w:textAlignment w:val="center"/>
                    <w:rPr>
                      <w:color w:val="auto"/>
                    </w:rPr>
                  </w:pPr>
                  <w:r>
                    <w:rPr>
                      <w:color w:val="auto"/>
                    </w:rPr>
                    <w:t>4</w:t>
                  </w:r>
                </w:p>
              </w:tc>
              <w:tc>
                <w:tcPr>
                  <w:tcW w:w="731" w:type="pct"/>
                  <w:vAlign w:val="center"/>
                </w:tcPr>
                <w:p>
                  <w:pPr>
                    <w:widowControl/>
                    <w:jc w:val="center"/>
                    <w:textAlignment w:val="center"/>
                    <w:rPr>
                      <w:color w:val="auto"/>
                    </w:rPr>
                  </w:pPr>
                  <w:r>
                    <w:rPr>
                      <w:color w:val="auto"/>
                    </w:rPr>
                    <w:t>4.94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鹃形目 CUCULIFORMES</w:t>
                  </w:r>
                </w:p>
              </w:tc>
              <w:tc>
                <w:tcPr>
                  <w:tcW w:w="1402" w:type="pct"/>
                  <w:vAlign w:val="center"/>
                </w:tcPr>
                <w:p>
                  <w:pPr>
                    <w:widowControl/>
                    <w:jc w:val="center"/>
                    <w:textAlignment w:val="center"/>
                    <w:rPr>
                      <w:color w:val="auto"/>
                    </w:rPr>
                  </w:pPr>
                  <w:r>
                    <w:rPr>
                      <w:color w:val="auto"/>
                    </w:rPr>
                    <w:t>杜鹃科 Cuculidae</w:t>
                  </w:r>
                </w:p>
              </w:tc>
              <w:tc>
                <w:tcPr>
                  <w:tcW w:w="731" w:type="pct"/>
                  <w:vAlign w:val="center"/>
                </w:tcPr>
                <w:p>
                  <w:pPr>
                    <w:widowControl/>
                    <w:jc w:val="center"/>
                    <w:textAlignment w:val="center"/>
                    <w:rPr>
                      <w:color w:val="auto"/>
                    </w:rPr>
                  </w:pPr>
                  <w:r>
                    <w:rPr>
                      <w:color w:val="auto"/>
                    </w:rPr>
                    <w:t>2</w:t>
                  </w:r>
                </w:p>
              </w:tc>
              <w:tc>
                <w:tcPr>
                  <w:tcW w:w="731" w:type="pct"/>
                  <w:vAlign w:val="center"/>
                </w:tcPr>
                <w:p>
                  <w:pPr>
                    <w:widowControl/>
                    <w:jc w:val="center"/>
                    <w:textAlignment w:val="center"/>
                    <w:rPr>
                      <w:color w:val="auto"/>
                    </w:rPr>
                  </w:pPr>
                  <w:r>
                    <w:rPr>
                      <w:color w:val="auto"/>
                    </w:rPr>
                    <w:t>3</w:t>
                  </w:r>
                </w:p>
              </w:tc>
              <w:tc>
                <w:tcPr>
                  <w:tcW w:w="731" w:type="pct"/>
                  <w:vAlign w:val="center"/>
                </w:tcPr>
                <w:p>
                  <w:pPr>
                    <w:widowControl/>
                    <w:jc w:val="center"/>
                    <w:textAlignment w:val="center"/>
                    <w:rPr>
                      <w:color w:val="auto"/>
                    </w:rPr>
                  </w:pPr>
                  <w:r>
                    <w:rPr>
                      <w:color w:val="auto"/>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雨燕目 APODIFORMES</w:t>
                  </w:r>
                </w:p>
              </w:tc>
              <w:tc>
                <w:tcPr>
                  <w:tcW w:w="1402" w:type="pct"/>
                  <w:vAlign w:val="center"/>
                </w:tcPr>
                <w:p>
                  <w:pPr>
                    <w:widowControl/>
                    <w:jc w:val="center"/>
                    <w:textAlignment w:val="center"/>
                    <w:rPr>
                      <w:color w:val="auto"/>
                    </w:rPr>
                  </w:pPr>
                  <w:r>
                    <w:rPr>
                      <w:color w:val="auto"/>
                    </w:rPr>
                    <w:t>雨燕科 Apodidae</w:t>
                  </w:r>
                </w:p>
              </w:tc>
              <w:tc>
                <w:tcPr>
                  <w:tcW w:w="731" w:type="pct"/>
                  <w:vAlign w:val="center"/>
                </w:tcPr>
                <w:p>
                  <w:pPr>
                    <w:widowControl/>
                    <w:jc w:val="center"/>
                    <w:textAlignment w:val="center"/>
                    <w:rPr>
                      <w:color w:val="auto"/>
                    </w:rPr>
                  </w:pPr>
                  <w:r>
                    <w:rPr>
                      <w:color w:val="auto"/>
                    </w:rPr>
                    <w:t>2</w:t>
                  </w:r>
                </w:p>
              </w:tc>
              <w:tc>
                <w:tcPr>
                  <w:tcW w:w="731" w:type="pct"/>
                  <w:vAlign w:val="center"/>
                </w:tcPr>
                <w:p>
                  <w:pPr>
                    <w:widowControl/>
                    <w:jc w:val="center"/>
                    <w:textAlignment w:val="center"/>
                    <w:rPr>
                      <w:color w:val="auto"/>
                    </w:rPr>
                  </w:pPr>
                  <w:r>
                    <w:rPr>
                      <w:color w:val="auto"/>
                    </w:rPr>
                    <w:t>3</w:t>
                  </w:r>
                </w:p>
              </w:tc>
              <w:tc>
                <w:tcPr>
                  <w:tcW w:w="731" w:type="pct"/>
                  <w:vAlign w:val="center"/>
                </w:tcPr>
                <w:p>
                  <w:pPr>
                    <w:widowControl/>
                    <w:jc w:val="center"/>
                    <w:textAlignment w:val="center"/>
                    <w:rPr>
                      <w:color w:val="auto"/>
                    </w:rPr>
                  </w:pPr>
                  <w:r>
                    <w:rPr>
                      <w:color w:val="auto"/>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佛法僧目 CORACIIFORMES</w:t>
                  </w:r>
                </w:p>
              </w:tc>
              <w:tc>
                <w:tcPr>
                  <w:tcW w:w="1402" w:type="pct"/>
                  <w:vAlign w:val="center"/>
                </w:tcPr>
                <w:p>
                  <w:pPr>
                    <w:widowControl/>
                    <w:jc w:val="center"/>
                    <w:textAlignment w:val="center"/>
                    <w:rPr>
                      <w:color w:val="auto"/>
                    </w:rPr>
                  </w:pPr>
                  <w:r>
                    <w:rPr>
                      <w:color w:val="auto"/>
                    </w:rPr>
                    <w:t>翠鸟科 Alcedinidae</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戴胜目 UPUPIFORMES</w:t>
                  </w:r>
                </w:p>
              </w:tc>
              <w:tc>
                <w:tcPr>
                  <w:tcW w:w="1402" w:type="pct"/>
                  <w:vAlign w:val="center"/>
                </w:tcPr>
                <w:p>
                  <w:pPr>
                    <w:widowControl/>
                    <w:jc w:val="center"/>
                    <w:textAlignment w:val="center"/>
                    <w:rPr>
                      <w:color w:val="auto"/>
                    </w:rPr>
                  </w:pPr>
                  <w:r>
                    <w:rPr>
                      <w:color w:val="auto"/>
                    </w:rPr>
                    <w:t>戴胜科 Upupidae</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w:t>
                  </w:r>
                </w:p>
              </w:tc>
              <w:tc>
                <w:tcPr>
                  <w:tcW w:w="731" w:type="pct"/>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szCs w:val="21"/>
                    </w:rPr>
                  </w:pPr>
                  <w:r>
                    <w:rPr>
                      <w:color w:val="auto"/>
                    </w:rPr>
                    <w:t xml:space="preserve">䴕形目 </w:t>
                  </w:r>
                  <w:r>
                    <w:rPr>
                      <w:rFonts w:eastAsia="Times New Roman"/>
                      <w:color w:val="auto"/>
                    </w:rPr>
                    <w:t>PICIFORMES</w:t>
                  </w:r>
                </w:p>
              </w:tc>
              <w:tc>
                <w:tcPr>
                  <w:tcW w:w="1402" w:type="pct"/>
                  <w:vAlign w:val="center"/>
                </w:tcPr>
                <w:p>
                  <w:pPr>
                    <w:widowControl/>
                    <w:jc w:val="center"/>
                    <w:textAlignment w:val="center"/>
                    <w:rPr>
                      <w:color w:val="auto"/>
                      <w:szCs w:val="21"/>
                    </w:rPr>
                  </w:pPr>
                  <w:r>
                    <w:rPr>
                      <w:color w:val="auto"/>
                    </w:rPr>
                    <w:t xml:space="preserve">啄木鸟科 </w:t>
                  </w:r>
                  <w:r>
                    <w:rPr>
                      <w:rFonts w:eastAsia="Times New Roman"/>
                      <w:i/>
                      <w:color w:val="auto"/>
                    </w:rPr>
                    <w:t>Picidae</w:t>
                  </w:r>
                </w:p>
              </w:tc>
              <w:tc>
                <w:tcPr>
                  <w:tcW w:w="731" w:type="pct"/>
                  <w:vAlign w:val="center"/>
                </w:tcPr>
                <w:p>
                  <w:pPr>
                    <w:widowControl/>
                    <w:jc w:val="center"/>
                    <w:textAlignment w:val="center"/>
                    <w:rPr>
                      <w:color w:val="auto"/>
                      <w:szCs w:val="21"/>
                    </w:rPr>
                  </w:pPr>
                  <w:r>
                    <w:rPr>
                      <w:color w:val="auto"/>
                      <w:szCs w:val="21"/>
                    </w:rPr>
                    <w:t>1</w:t>
                  </w:r>
                </w:p>
              </w:tc>
              <w:tc>
                <w:tcPr>
                  <w:tcW w:w="731" w:type="pct"/>
                  <w:vAlign w:val="center"/>
                </w:tcPr>
                <w:p>
                  <w:pPr>
                    <w:widowControl/>
                    <w:jc w:val="center"/>
                    <w:textAlignment w:val="center"/>
                    <w:rPr>
                      <w:color w:val="auto"/>
                      <w:szCs w:val="21"/>
                    </w:rPr>
                  </w:pPr>
                  <w:r>
                    <w:rPr>
                      <w:color w:val="auto"/>
                      <w:szCs w:val="21"/>
                    </w:rPr>
                    <w:t>2</w:t>
                  </w:r>
                </w:p>
              </w:tc>
              <w:tc>
                <w:tcPr>
                  <w:tcW w:w="731" w:type="pct"/>
                  <w:vAlign w:val="center"/>
                </w:tcPr>
                <w:p>
                  <w:pPr>
                    <w:widowControl/>
                    <w:jc w:val="center"/>
                    <w:textAlignment w:val="center"/>
                    <w:rPr>
                      <w:color w:val="auto"/>
                      <w:szCs w:val="21"/>
                    </w:rPr>
                  </w:pPr>
                  <w:r>
                    <w:rPr>
                      <w:color w:val="auto"/>
                      <w:szCs w:val="21"/>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rPr>
                  </w:pPr>
                  <w:r>
                    <w:rPr>
                      <w:color w:val="auto"/>
                    </w:rPr>
                    <w:t>非雀形目小计</w:t>
                  </w:r>
                </w:p>
              </w:tc>
              <w:tc>
                <w:tcPr>
                  <w:tcW w:w="1402" w:type="pct"/>
                  <w:vAlign w:val="center"/>
                </w:tcPr>
                <w:p>
                  <w:pPr>
                    <w:widowControl/>
                    <w:jc w:val="center"/>
                    <w:textAlignment w:val="center"/>
                    <w:rPr>
                      <w:color w:val="auto"/>
                    </w:rPr>
                  </w:pPr>
                  <w:r>
                    <w:rPr>
                      <w:color w:val="auto"/>
                    </w:rPr>
                    <w:t>13</w:t>
                  </w:r>
                </w:p>
              </w:tc>
              <w:tc>
                <w:tcPr>
                  <w:tcW w:w="731" w:type="pct"/>
                  <w:vAlign w:val="center"/>
                </w:tcPr>
                <w:p>
                  <w:pPr>
                    <w:widowControl/>
                    <w:jc w:val="center"/>
                    <w:textAlignment w:val="center"/>
                    <w:rPr>
                      <w:color w:val="auto"/>
                      <w:szCs w:val="21"/>
                    </w:rPr>
                  </w:pPr>
                  <w:r>
                    <w:rPr>
                      <w:color w:val="auto"/>
                      <w:szCs w:val="21"/>
                    </w:rPr>
                    <w:t>16</w:t>
                  </w:r>
                </w:p>
              </w:tc>
              <w:tc>
                <w:tcPr>
                  <w:tcW w:w="731" w:type="pct"/>
                  <w:vAlign w:val="center"/>
                </w:tcPr>
                <w:p>
                  <w:pPr>
                    <w:widowControl/>
                    <w:jc w:val="center"/>
                    <w:textAlignment w:val="center"/>
                    <w:rPr>
                      <w:color w:val="auto"/>
                      <w:szCs w:val="21"/>
                    </w:rPr>
                  </w:pPr>
                  <w:r>
                    <w:rPr>
                      <w:color w:val="auto"/>
                      <w:szCs w:val="21"/>
                    </w:rPr>
                    <w:t>23</w:t>
                  </w:r>
                </w:p>
              </w:tc>
              <w:tc>
                <w:tcPr>
                  <w:tcW w:w="731" w:type="pct"/>
                  <w:vAlign w:val="center"/>
                </w:tcPr>
                <w:p>
                  <w:pPr>
                    <w:widowControl/>
                    <w:jc w:val="center"/>
                    <w:textAlignment w:val="center"/>
                    <w:rPr>
                      <w:color w:val="auto"/>
                      <w:szCs w:val="21"/>
                    </w:rPr>
                  </w:pPr>
                  <w:r>
                    <w:rPr>
                      <w:color w:val="auto"/>
                      <w:szCs w:val="21"/>
                    </w:rPr>
                    <w:t>28.40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restart"/>
                  <w:vAlign w:val="center"/>
                </w:tcPr>
                <w:p>
                  <w:pPr>
                    <w:widowControl/>
                    <w:jc w:val="center"/>
                    <w:textAlignment w:val="center"/>
                    <w:rPr>
                      <w:color w:val="auto"/>
                      <w:szCs w:val="21"/>
                    </w:rPr>
                  </w:pPr>
                  <w:r>
                    <w:rPr>
                      <w:color w:val="auto"/>
                    </w:rPr>
                    <w:t xml:space="preserve">雀形目 </w:t>
                  </w:r>
                  <w:r>
                    <w:rPr>
                      <w:rFonts w:eastAsia="Times New Roman"/>
                      <w:color w:val="auto"/>
                    </w:rPr>
                    <w:t>PASSERIFORMES</w:t>
                  </w:r>
                </w:p>
              </w:tc>
              <w:tc>
                <w:tcPr>
                  <w:tcW w:w="2405" w:type="dxa"/>
                  <w:vAlign w:val="center"/>
                </w:tcPr>
                <w:p>
                  <w:pPr>
                    <w:widowControl/>
                    <w:jc w:val="center"/>
                    <w:textAlignment w:val="center"/>
                    <w:rPr>
                      <w:color w:val="auto"/>
                    </w:rPr>
                  </w:pPr>
                  <w:r>
                    <w:rPr>
                      <w:color w:val="auto"/>
                    </w:rPr>
                    <w:t>燕科 Hirundinidae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2</w:t>
                  </w:r>
                </w:p>
              </w:tc>
              <w:tc>
                <w:tcPr>
                  <w:tcW w:w="1255" w:type="dxa"/>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鹡鸰科 Motacillidae</w:t>
                  </w:r>
                </w:p>
              </w:tc>
              <w:tc>
                <w:tcPr>
                  <w:tcW w:w="1254" w:type="dxa"/>
                  <w:vAlign w:val="center"/>
                </w:tcPr>
                <w:p>
                  <w:pPr>
                    <w:widowControl/>
                    <w:jc w:val="center"/>
                    <w:textAlignment w:val="center"/>
                    <w:rPr>
                      <w:color w:val="auto"/>
                    </w:rPr>
                  </w:pPr>
                  <w:r>
                    <w:rPr>
                      <w:color w:val="auto"/>
                    </w:rPr>
                    <w:t>2</w:t>
                  </w:r>
                </w:p>
              </w:tc>
              <w:tc>
                <w:tcPr>
                  <w:tcW w:w="1254" w:type="dxa"/>
                  <w:vAlign w:val="center"/>
                </w:tcPr>
                <w:p>
                  <w:pPr>
                    <w:widowControl/>
                    <w:jc w:val="center"/>
                    <w:textAlignment w:val="center"/>
                    <w:rPr>
                      <w:color w:val="auto"/>
                    </w:rPr>
                  </w:pPr>
                  <w:r>
                    <w:rPr>
                      <w:color w:val="auto"/>
                    </w:rPr>
                    <w:t>5</w:t>
                  </w:r>
                </w:p>
              </w:tc>
              <w:tc>
                <w:tcPr>
                  <w:tcW w:w="1255" w:type="dxa"/>
                  <w:vAlign w:val="center"/>
                </w:tcPr>
                <w:p>
                  <w:pPr>
                    <w:widowControl/>
                    <w:jc w:val="center"/>
                    <w:textAlignment w:val="center"/>
                    <w:rPr>
                      <w:color w:val="auto"/>
                    </w:rPr>
                  </w:pPr>
                  <w:r>
                    <w:rPr>
                      <w:color w:val="auto"/>
                    </w:rPr>
                    <w:t>6.17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山椒鸟科 Campephagidae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1</w:t>
                  </w:r>
                </w:p>
              </w:tc>
              <w:tc>
                <w:tcPr>
                  <w:tcW w:w="1255" w:type="dxa"/>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鹎科 Pycnonotidae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3</w:t>
                  </w:r>
                </w:p>
              </w:tc>
              <w:tc>
                <w:tcPr>
                  <w:tcW w:w="1255" w:type="dxa"/>
                  <w:vAlign w:val="center"/>
                </w:tcPr>
                <w:p>
                  <w:pPr>
                    <w:widowControl/>
                    <w:jc w:val="center"/>
                    <w:textAlignment w:val="center"/>
                    <w:rPr>
                      <w:color w:val="auto"/>
                    </w:rPr>
                  </w:pPr>
                  <w:r>
                    <w:rPr>
                      <w:color w:val="auto"/>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伯劳科 Laniidae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2</w:t>
                  </w:r>
                </w:p>
              </w:tc>
              <w:tc>
                <w:tcPr>
                  <w:tcW w:w="1255" w:type="dxa"/>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卷尾科 Dicruridae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1</w:t>
                  </w:r>
                </w:p>
              </w:tc>
              <w:tc>
                <w:tcPr>
                  <w:tcW w:w="1255" w:type="dxa"/>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鸦科 Corvidae</w:t>
                  </w:r>
                </w:p>
              </w:tc>
              <w:tc>
                <w:tcPr>
                  <w:tcW w:w="1254" w:type="dxa"/>
                  <w:vAlign w:val="center"/>
                </w:tcPr>
                <w:p>
                  <w:pPr>
                    <w:widowControl/>
                    <w:jc w:val="center"/>
                    <w:textAlignment w:val="center"/>
                    <w:rPr>
                      <w:color w:val="auto"/>
                    </w:rPr>
                  </w:pPr>
                  <w:r>
                    <w:rPr>
                      <w:color w:val="auto"/>
                    </w:rPr>
                    <w:t>3</w:t>
                  </w:r>
                </w:p>
              </w:tc>
              <w:tc>
                <w:tcPr>
                  <w:tcW w:w="1254" w:type="dxa"/>
                  <w:vAlign w:val="center"/>
                </w:tcPr>
                <w:p>
                  <w:pPr>
                    <w:widowControl/>
                    <w:jc w:val="center"/>
                    <w:textAlignment w:val="center"/>
                    <w:rPr>
                      <w:color w:val="auto"/>
                    </w:rPr>
                  </w:pPr>
                  <w:r>
                    <w:rPr>
                      <w:color w:val="auto"/>
                    </w:rPr>
                    <w:t>4</w:t>
                  </w:r>
                </w:p>
              </w:tc>
              <w:tc>
                <w:tcPr>
                  <w:tcW w:w="1255" w:type="dxa"/>
                  <w:vAlign w:val="center"/>
                </w:tcPr>
                <w:p>
                  <w:pPr>
                    <w:widowControl/>
                    <w:jc w:val="center"/>
                    <w:textAlignment w:val="center"/>
                    <w:rPr>
                      <w:color w:val="auto"/>
                    </w:rPr>
                  </w:pPr>
                  <w:r>
                    <w:rPr>
                      <w:color w:val="auto"/>
                    </w:rPr>
                    <w:t>4.94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河乌科 Cinclidae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1</w:t>
                  </w:r>
                </w:p>
              </w:tc>
              <w:tc>
                <w:tcPr>
                  <w:tcW w:w="1255" w:type="dxa"/>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鹪鹩科 Troglodytidae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1</w:t>
                  </w:r>
                </w:p>
              </w:tc>
              <w:tc>
                <w:tcPr>
                  <w:tcW w:w="1255" w:type="dxa"/>
                  <w:vAlign w:val="center"/>
                </w:tcPr>
                <w:p>
                  <w:pPr>
                    <w:widowControl/>
                    <w:jc w:val="center"/>
                    <w:textAlignment w:val="center"/>
                    <w:rPr>
                      <w:color w:val="auto"/>
                    </w:rPr>
                  </w:pPr>
                  <w:r>
                    <w:rPr>
                      <w:color w:val="auto"/>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鸫科 Turdidae</w:t>
                  </w:r>
                </w:p>
              </w:tc>
              <w:tc>
                <w:tcPr>
                  <w:tcW w:w="1254" w:type="dxa"/>
                  <w:vAlign w:val="center"/>
                </w:tcPr>
                <w:p>
                  <w:pPr>
                    <w:widowControl/>
                    <w:jc w:val="center"/>
                    <w:textAlignment w:val="center"/>
                    <w:rPr>
                      <w:color w:val="auto"/>
                    </w:rPr>
                  </w:pPr>
                  <w:r>
                    <w:rPr>
                      <w:color w:val="auto"/>
                    </w:rPr>
                    <w:t>9</w:t>
                  </w:r>
                </w:p>
              </w:tc>
              <w:tc>
                <w:tcPr>
                  <w:tcW w:w="1254" w:type="dxa"/>
                  <w:vAlign w:val="center"/>
                </w:tcPr>
                <w:p>
                  <w:pPr>
                    <w:widowControl/>
                    <w:jc w:val="center"/>
                    <w:textAlignment w:val="center"/>
                    <w:rPr>
                      <w:color w:val="auto"/>
                    </w:rPr>
                  </w:pPr>
                  <w:r>
                    <w:rPr>
                      <w:color w:val="auto"/>
                    </w:rPr>
                    <w:t>10</w:t>
                  </w:r>
                </w:p>
              </w:tc>
              <w:tc>
                <w:tcPr>
                  <w:tcW w:w="1255" w:type="dxa"/>
                  <w:vAlign w:val="center"/>
                </w:tcPr>
                <w:p>
                  <w:pPr>
                    <w:widowControl/>
                    <w:jc w:val="center"/>
                    <w:textAlignment w:val="center"/>
                    <w:rPr>
                      <w:color w:val="auto"/>
                    </w:rPr>
                  </w:pPr>
                  <w:r>
                    <w:rPr>
                      <w:color w:val="auto"/>
                    </w:rPr>
                    <w:t>12.35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鹟科 Muscicapidae</w:t>
                  </w:r>
                </w:p>
              </w:tc>
              <w:tc>
                <w:tcPr>
                  <w:tcW w:w="1254" w:type="dxa"/>
                  <w:vAlign w:val="center"/>
                </w:tcPr>
                <w:p>
                  <w:pPr>
                    <w:widowControl/>
                    <w:jc w:val="center"/>
                    <w:textAlignment w:val="center"/>
                    <w:rPr>
                      <w:color w:val="auto"/>
                    </w:rPr>
                  </w:pPr>
                  <w:r>
                    <w:rPr>
                      <w:color w:val="auto"/>
                    </w:rPr>
                    <w:t>3</w:t>
                  </w:r>
                </w:p>
              </w:tc>
              <w:tc>
                <w:tcPr>
                  <w:tcW w:w="1254" w:type="dxa"/>
                  <w:vAlign w:val="center"/>
                </w:tcPr>
                <w:p>
                  <w:pPr>
                    <w:widowControl/>
                    <w:jc w:val="center"/>
                    <w:textAlignment w:val="center"/>
                    <w:rPr>
                      <w:color w:val="auto"/>
                    </w:rPr>
                  </w:pPr>
                  <w:r>
                    <w:rPr>
                      <w:color w:val="auto"/>
                    </w:rPr>
                    <w:t>3</w:t>
                  </w:r>
                </w:p>
              </w:tc>
              <w:tc>
                <w:tcPr>
                  <w:tcW w:w="1255" w:type="dxa"/>
                  <w:vAlign w:val="center"/>
                </w:tcPr>
                <w:p>
                  <w:pPr>
                    <w:widowControl/>
                    <w:jc w:val="center"/>
                    <w:textAlignment w:val="center"/>
                    <w:rPr>
                      <w:color w:val="auto"/>
                    </w:rPr>
                  </w:pPr>
                  <w:r>
                    <w:rPr>
                      <w:color w:val="auto"/>
                    </w:rPr>
                    <w:t>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噪鹛科 Leiothrichidae</w:t>
                  </w:r>
                </w:p>
              </w:tc>
              <w:tc>
                <w:tcPr>
                  <w:tcW w:w="1254" w:type="dxa"/>
                  <w:vAlign w:val="center"/>
                </w:tcPr>
                <w:p>
                  <w:pPr>
                    <w:widowControl/>
                    <w:jc w:val="center"/>
                    <w:textAlignment w:val="center"/>
                    <w:rPr>
                      <w:color w:val="auto"/>
                    </w:rPr>
                  </w:pPr>
                  <w:r>
                    <w:rPr>
                      <w:color w:val="auto"/>
                    </w:rPr>
                    <w:t>7</w:t>
                  </w:r>
                </w:p>
              </w:tc>
              <w:tc>
                <w:tcPr>
                  <w:tcW w:w="1254" w:type="dxa"/>
                  <w:vAlign w:val="center"/>
                </w:tcPr>
                <w:p>
                  <w:pPr>
                    <w:widowControl/>
                    <w:jc w:val="center"/>
                    <w:textAlignment w:val="center"/>
                    <w:rPr>
                      <w:color w:val="auto"/>
                    </w:rPr>
                  </w:pPr>
                  <w:r>
                    <w:rPr>
                      <w:color w:val="auto"/>
                    </w:rPr>
                    <w:t>10</w:t>
                  </w:r>
                </w:p>
              </w:tc>
              <w:tc>
                <w:tcPr>
                  <w:tcW w:w="1255" w:type="dxa"/>
                  <w:vAlign w:val="center"/>
                </w:tcPr>
                <w:p>
                  <w:pPr>
                    <w:widowControl/>
                    <w:jc w:val="center"/>
                    <w:textAlignment w:val="center"/>
                    <w:rPr>
                      <w:color w:val="auto"/>
                    </w:rPr>
                  </w:pPr>
                  <w:r>
                    <w:rPr>
                      <w:color w:val="auto"/>
                    </w:rPr>
                    <w:t>12.35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莺科 Sylviidae</w:t>
                  </w:r>
                </w:p>
              </w:tc>
              <w:tc>
                <w:tcPr>
                  <w:tcW w:w="1254" w:type="dxa"/>
                  <w:vAlign w:val="center"/>
                </w:tcPr>
                <w:p>
                  <w:pPr>
                    <w:widowControl/>
                    <w:jc w:val="center"/>
                    <w:textAlignment w:val="center"/>
                    <w:rPr>
                      <w:color w:val="auto"/>
                    </w:rPr>
                  </w:pPr>
                  <w:r>
                    <w:rPr>
                      <w:color w:val="auto"/>
                    </w:rPr>
                    <w:t>3</w:t>
                  </w:r>
                </w:p>
              </w:tc>
              <w:tc>
                <w:tcPr>
                  <w:tcW w:w="1254" w:type="dxa"/>
                  <w:vAlign w:val="center"/>
                </w:tcPr>
                <w:p>
                  <w:pPr>
                    <w:widowControl/>
                    <w:jc w:val="center"/>
                    <w:textAlignment w:val="center"/>
                    <w:rPr>
                      <w:color w:val="auto"/>
                    </w:rPr>
                  </w:pPr>
                  <w:r>
                    <w:rPr>
                      <w:color w:val="auto"/>
                    </w:rPr>
                    <w:t>7</w:t>
                  </w:r>
                </w:p>
              </w:tc>
              <w:tc>
                <w:tcPr>
                  <w:tcW w:w="1255" w:type="dxa"/>
                  <w:vAlign w:val="center"/>
                </w:tcPr>
                <w:p>
                  <w:pPr>
                    <w:widowControl/>
                    <w:jc w:val="center"/>
                    <w:textAlignment w:val="center"/>
                    <w:rPr>
                      <w:color w:val="auto"/>
                    </w:rPr>
                  </w:pPr>
                  <w:r>
                    <w:rPr>
                      <w:color w:val="auto"/>
                    </w:rPr>
                    <w:t>8.64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绣眼鸟科 Zosteropidae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2</w:t>
                  </w:r>
                </w:p>
              </w:tc>
              <w:tc>
                <w:tcPr>
                  <w:tcW w:w="1255" w:type="dxa"/>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山雀科 Paridae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2</w:t>
                  </w:r>
                </w:p>
              </w:tc>
              <w:tc>
                <w:tcPr>
                  <w:tcW w:w="1255" w:type="dxa"/>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旋木雀科 Certhiidae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2</w:t>
                  </w:r>
                </w:p>
              </w:tc>
              <w:tc>
                <w:tcPr>
                  <w:tcW w:w="1255" w:type="dxa"/>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Merge w:val="continue"/>
                  <w:vAlign w:val="center"/>
                </w:tcPr>
                <w:p>
                  <w:pPr>
                    <w:widowControl/>
                    <w:jc w:val="center"/>
                    <w:textAlignment w:val="center"/>
                    <w:rPr>
                      <w:color w:val="auto"/>
                      <w:szCs w:val="21"/>
                    </w:rPr>
                  </w:pPr>
                </w:p>
              </w:tc>
              <w:tc>
                <w:tcPr>
                  <w:tcW w:w="2405" w:type="dxa"/>
                  <w:vAlign w:val="center"/>
                </w:tcPr>
                <w:p>
                  <w:pPr>
                    <w:widowControl/>
                    <w:jc w:val="center"/>
                    <w:textAlignment w:val="center"/>
                    <w:rPr>
                      <w:color w:val="auto"/>
                    </w:rPr>
                  </w:pPr>
                  <w:r>
                    <w:rPr>
                      <w:color w:val="auto"/>
                    </w:rPr>
                    <w:t>雀科 Passeridae</w:t>
                  </w:r>
                </w:p>
              </w:tc>
              <w:tc>
                <w:tcPr>
                  <w:tcW w:w="1254" w:type="dxa"/>
                  <w:vAlign w:val="center"/>
                </w:tcPr>
                <w:p>
                  <w:pPr>
                    <w:widowControl/>
                    <w:jc w:val="center"/>
                    <w:textAlignment w:val="center"/>
                    <w:rPr>
                      <w:color w:val="auto"/>
                    </w:rPr>
                  </w:pPr>
                  <w:r>
                    <w:rPr>
                      <w:color w:val="auto"/>
                    </w:rPr>
                    <w:t>1</w:t>
                  </w:r>
                </w:p>
              </w:tc>
              <w:tc>
                <w:tcPr>
                  <w:tcW w:w="1254" w:type="dxa"/>
                  <w:vAlign w:val="center"/>
                </w:tcPr>
                <w:p>
                  <w:pPr>
                    <w:widowControl/>
                    <w:jc w:val="center"/>
                    <w:textAlignment w:val="center"/>
                    <w:rPr>
                      <w:color w:val="auto"/>
                    </w:rPr>
                  </w:pPr>
                  <w:r>
                    <w:rPr>
                      <w:color w:val="auto"/>
                    </w:rPr>
                    <w:t>2</w:t>
                  </w:r>
                </w:p>
              </w:tc>
              <w:tc>
                <w:tcPr>
                  <w:tcW w:w="1255" w:type="dxa"/>
                  <w:vAlign w:val="center"/>
                </w:tcPr>
                <w:p>
                  <w:pPr>
                    <w:widowControl/>
                    <w:jc w:val="center"/>
                    <w:textAlignment w:val="center"/>
                    <w:rPr>
                      <w:color w:val="auto"/>
                    </w:rPr>
                  </w:pPr>
                  <w:r>
                    <w:rPr>
                      <w:color w:val="auto"/>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szCs w:val="21"/>
                    </w:rPr>
                  </w:pPr>
                  <w:r>
                    <w:rPr>
                      <w:color w:val="auto"/>
                      <w:szCs w:val="21"/>
                    </w:rPr>
                    <w:t>雀形目小计</w:t>
                  </w:r>
                </w:p>
              </w:tc>
              <w:tc>
                <w:tcPr>
                  <w:tcW w:w="1402" w:type="pct"/>
                  <w:vAlign w:val="center"/>
                </w:tcPr>
                <w:p>
                  <w:pPr>
                    <w:widowControl/>
                    <w:jc w:val="center"/>
                    <w:textAlignment w:val="center"/>
                    <w:rPr>
                      <w:color w:val="auto"/>
                      <w:szCs w:val="21"/>
                    </w:rPr>
                  </w:pPr>
                  <w:r>
                    <w:rPr>
                      <w:color w:val="auto"/>
                      <w:szCs w:val="21"/>
                    </w:rPr>
                    <w:t>17</w:t>
                  </w:r>
                </w:p>
              </w:tc>
              <w:tc>
                <w:tcPr>
                  <w:tcW w:w="731" w:type="pct"/>
                  <w:vAlign w:val="center"/>
                </w:tcPr>
                <w:p>
                  <w:pPr>
                    <w:widowControl/>
                    <w:jc w:val="center"/>
                    <w:textAlignment w:val="center"/>
                    <w:rPr>
                      <w:color w:val="auto"/>
                      <w:szCs w:val="21"/>
                    </w:rPr>
                  </w:pPr>
                  <w:r>
                    <w:rPr>
                      <w:color w:val="auto"/>
                      <w:szCs w:val="21"/>
                    </w:rPr>
                    <w:t>38</w:t>
                  </w:r>
                </w:p>
              </w:tc>
              <w:tc>
                <w:tcPr>
                  <w:tcW w:w="731" w:type="pct"/>
                  <w:vAlign w:val="center"/>
                </w:tcPr>
                <w:p>
                  <w:pPr>
                    <w:widowControl/>
                    <w:jc w:val="center"/>
                    <w:textAlignment w:val="center"/>
                    <w:rPr>
                      <w:color w:val="auto"/>
                      <w:szCs w:val="21"/>
                    </w:rPr>
                  </w:pPr>
                  <w:r>
                    <w:rPr>
                      <w:color w:val="auto"/>
                      <w:szCs w:val="21"/>
                    </w:rPr>
                    <w:t>58</w:t>
                  </w:r>
                </w:p>
              </w:tc>
              <w:tc>
                <w:tcPr>
                  <w:tcW w:w="731" w:type="pct"/>
                  <w:vAlign w:val="center"/>
                </w:tcPr>
                <w:p>
                  <w:pPr>
                    <w:widowControl/>
                    <w:jc w:val="center"/>
                    <w:textAlignment w:val="center"/>
                    <w:rPr>
                      <w:color w:val="auto"/>
                      <w:szCs w:val="21"/>
                    </w:rPr>
                  </w:pPr>
                  <w:r>
                    <w:rPr>
                      <w:color w:val="auto"/>
                      <w:szCs w:val="21"/>
                    </w:rPr>
                    <w:t>71.60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402" w:type="pct"/>
                  <w:vAlign w:val="center"/>
                </w:tcPr>
                <w:p>
                  <w:pPr>
                    <w:widowControl/>
                    <w:jc w:val="center"/>
                    <w:textAlignment w:val="center"/>
                    <w:rPr>
                      <w:color w:val="auto"/>
                      <w:szCs w:val="21"/>
                    </w:rPr>
                  </w:pPr>
                  <w:r>
                    <w:rPr>
                      <w:color w:val="auto"/>
                      <w:szCs w:val="21"/>
                    </w:rPr>
                    <w:t>合计</w:t>
                  </w:r>
                </w:p>
              </w:tc>
              <w:tc>
                <w:tcPr>
                  <w:tcW w:w="1402" w:type="pct"/>
                  <w:vAlign w:val="center"/>
                </w:tcPr>
                <w:p>
                  <w:pPr>
                    <w:widowControl/>
                    <w:jc w:val="center"/>
                    <w:textAlignment w:val="center"/>
                    <w:rPr>
                      <w:color w:val="auto"/>
                      <w:szCs w:val="21"/>
                    </w:rPr>
                  </w:pPr>
                  <w:r>
                    <w:rPr>
                      <w:color w:val="auto"/>
                      <w:szCs w:val="21"/>
                    </w:rPr>
                    <w:t>29</w:t>
                  </w:r>
                </w:p>
              </w:tc>
              <w:tc>
                <w:tcPr>
                  <w:tcW w:w="731" w:type="pct"/>
                  <w:vAlign w:val="center"/>
                </w:tcPr>
                <w:p>
                  <w:pPr>
                    <w:widowControl/>
                    <w:jc w:val="center"/>
                    <w:textAlignment w:val="center"/>
                    <w:rPr>
                      <w:color w:val="auto"/>
                      <w:szCs w:val="21"/>
                    </w:rPr>
                  </w:pPr>
                  <w:r>
                    <w:rPr>
                      <w:color w:val="auto"/>
                      <w:szCs w:val="21"/>
                    </w:rPr>
                    <w:t>54</w:t>
                  </w:r>
                </w:p>
              </w:tc>
              <w:tc>
                <w:tcPr>
                  <w:tcW w:w="731" w:type="pct"/>
                  <w:vAlign w:val="center"/>
                </w:tcPr>
                <w:p>
                  <w:pPr>
                    <w:widowControl/>
                    <w:jc w:val="center"/>
                    <w:textAlignment w:val="center"/>
                    <w:rPr>
                      <w:color w:val="auto"/>
                      <w:szCs w:val="21"/>
                    </w:rPr>
                  </w:pPr>
                  <w:r>
                    <w:rPr>
                      <w:color w:val="auto"/>
                      <w:szCs w:val="21"/>
                    </w:rPr>
                    <w:t>81</w:t>
                  </w:r>
                </w:p>
              </w:tc>
              <w:tc>
                <w:tcPr>
                  <w:tcW w:w="731" w:type="pct"/>
                  <w:vAlign w:val="center"/>
                </w:tcPr>
                <w:p>
                  <w:pPr>
                    <w:widowControl/>
                    <w:jc w:val="center"/>
                    <w:textAlignment w:val="center"/>
                    <w:rPr>
                      <w:color w:val="auto"/>
                      <w:szCs w:val="21"/>
                    </w:rPr>
                  </w:pPr>
                  <w:r>
                    <w:rPr>
                      <w:color w:val="auto"/>
                      <w:szCs w:val="21"/>
                    </w:rPr>
                    <w:t>100.00</w:t>
                  </w:r>
                </w:p>
              </w:tc>
            </w:tr>
          </w:tbl>
          <w:p>
            <w:pPr>
              <w:spacing w:line="360" w:lineRule="auto"/>
              <w:ind w:firstLine="480" w:firstLineChars="200"/>
              <w:rPr>
                <w:color w:val="auto"/>
                <w:sz w:val="24"/>
              </w:rPr>
            </w:pPr>
            <w:r>
              <w:rPr>
                <w:color w:val="auto"/>
                <w:sz w:val="24"/>
              </w:rPr>
              <w:t>由表可见，该区域的优势科为：鸫科和噪鹛科，所占鸟类种类的百分比较大；莺科、鹡鸰科、鸠鸽科、鹟科、杜鹃科也较多；其他科的种类仅分布有1~2种，所占鸟类种类的百分比最小。</w:t>
            </w:r>
          </w:p>
          <w:p>
            <w:pPr>
              <w:spacing w:line="360" w:lineRule="auto"/>
              <w:ind w:firstLine="480" w:firstLineChars="200"/>
              <w:rPr>
                <w:color w:val="auto"/>
                <w:sz w:val="24"/>
              </w:rPr>
            </w:pPr>
            <w:r>
              <w:rPr>
                <w:color w:val="auto"/>
                <w:sz w:val="24"/>
              </w:rPr>
              <w:t>从居留类型看，有留鸟51种，占该区调查发现的81种鸟类总种数的62.9%；夏候鸟25种，占30.1%；冬候鸟4种，仅占4.8%；旅鸟1种，占1.2%。可见留念占评价区鸟类物种数的绝大多数。</w:t>
            </w:r>
          </w:p>
          <w:p>
            <w:pPr>
              <w:spacing w:line="360" w:lineRule="auto"/>
              <w:ind w:firstLine="480" w:firstLineChars="200"/>
              <w:rPr>
                <w:color w:val="auto"/>
                <w:sz w:val="24"/>
              </w:rPr>
            </w:pPr>
            <w:r>
              <w:rPr>
                <w:color w:val="auto"/>
                <w:sz w:val="24"/>
              </w:rPr>
              <w:t>从区系及分布型来看，古北界24种，占29.6%；东洋界43种，占53%；广布种14种，占17.4%。</w:t>
            </w:r>
          </w:p>
          <w:p>
            <w:pPr>
              <w:spacing w:line="360" w:lineRule="auto"/>
              <w:ind w:firstLine="480" w:firstLineChars="200"/>
              <w:rPr>
                <w:color w:val="auto"/>
                <w:sz w:val="24"/>
              </w:rPr>
            </w:pPr>
            <w:r>
              <w:rPr>
                <w:color w:val="auto"/>
                <w:sz w:val="24"/>
              </w:rPr>
              <w:t>B.评价区域鸟类的生态分布</w:t>
            </w:r>
          </w:p>
          <w:p>
            <w:pPr>
              <w:spacing w:line="360" w:lineRule="auto"/>
              <w:ind w:firstLine="480" w:firstLineChars="200"/>
              <w:rPr>
                <w:color w:val="auto"/>
                <w:sz w:val="24"/>
              </w:rPr>
            </w:pPr>
            <w:r>
              <w:rPr>
                <w:color w:val="auto"/>
                <w:sz w:val="24"/>
              </w:rPr>
              <w:t>根据调查区植被分布的特点，将调查区鸟类分布的生境划分为以下4种类型：</w:t>
            </w:r>
          </w:p>
          <w:p>
            <w:pPr>
              <w:spacing w:line="360" w:lineRule="auto"/>
              <w:ind w:firstLine="480" w:firstLineChars="200"/>
              <w:rPr>
                <w:color w:val="auto"/>
                <w:sz w:val="24"/>
              </w:rPr>
            </w:pPr>
            <w:r>
              <w:rPr>
                <w:color w:val="auto"/>
                <w:sz w:val="24"/>
              </w:rPr>
              <w:t>水域环境：该生境类型主要是河流和河漫滩。活动于其中的鸟类主要为鹳形目的鹭科、佛法僧目的翠鸟科和雀形目的鶺鸰科、鹟科的种类。该区的优势种类主要是白鹡鸰（Motacillaalba）、褐河乌（Cincluspllasii）、红尾水鸲（Phyacornisfuliginosus）和白顶溪鸲（Chaimarrornisleucocephalus）等，偶见有白鹭（Egrettagarzatta）。</w:t>
            </w:r>
          </w:p>
          <w:p>
            <w:pPr>
              <w:spacing w:line="360" w:lineRule="auto"/>
              <w:ind w:firstLine="480" w:firstLineChars="200"/>
              <w:rPr>
                <w:color w:val="auto"/>
                <w:sz w:val="24"/>
              </w:rPr>
            </w:pPr>
            <w:r>
              <w:rPr>
                <w:color w:val="auto"/>
                <w:sz w:val="24"/>
              </w:rPr>
              <w:t>灌丛环境：主要杜鹃灌丛。该生境的鸟类主要有：黄腹柳莺（Phylloscopusaffinis）、棕背伯劳（Laniusschach）和白颊噪鹛（Garrulaxsannio）等。</w:t>
            </w:r>
          </w:p>
          <w:p>
            <w:pPr>
              <w:spacing w:line="360" w:lineRule="auto"/>
              <w:ind w:firstLine="480" w:firstLineChars="200"/>
              <w:rPr>
                <w:color w:val="auto"/>
                <w:sz w:val="24"/>
              </w:rPr>
            </w:pPr>
            <w:r>
              <w:rPr>
                <w:color w:val="auto"/>
                <w:sz w:val="24"/>
              </w:rPr>
              <w:t>草地环境：主要为佛法僧目和雀形目的部分鸟类，包括戴胜（Upupaepops）、小云雀（Alaudagulaula）、白鹡鸰、喜鹊（Picapica）等。</w:t>
            </w:r>
          </w:p>
          <w:p>
            <w:pPr>
              <w:spacing w:line="360" w:lineRule="auto"/>
              <w:ind w:firstLine="480" w:firstLineChars="200"/>
              <w:rPr>
                <w:color w:val="auto"/>
                <w:sz w:val="24"/>
              </w:rPr>
            </w:pPr>
            <w:r>
              <w:rPr>
                <w:color w:val="auto"/>
                <w:sz w:val="24"/>
              </w:rPr>
              <w:t>森林环境：包括评价范围的大部分区域，是鸟类生活的主要场所，包括鸟类名录中的绝大部分鸟类，如鹟科、画眉科、莺科的鸟类等等。</w:t>
            </w:r>
          </w:p>
          <w:p>
            <w:pPr>
              <w:spacing w:line="360" w:lineRule="auto"/>
              <w:ind w:firstLine="480" w:firstLineChars="200"/>
              <w:rPr>
                <w:color w:val="auto"/>
                <w:sz w:val="24"/>
              </w:rPr>
            </w:pPr>
            <w:r>
              <w:rPr>
                <w:color w:val="auto"/>
                <w:sz w:val="24"/>
              </w:rPr>
              <w:t>C.珍稀保护鸟类生态习性及分布</w:t>
            </w:r>
          </w:p>
          <w:p>
            <w:pPr>
              <w:spacing w:line="360" w:lineRule="auto"/>
              <w:ind w:firstLine="480" w:firstLineChars="200"/>
              <w:rPr>
                <w:color w:val="auto"/>
                <w:sz w:val="24"/>
              </w:rPr>
            </w:pPr>
            <w:r>
              <w:rPr>
                <w:color w:val="auto"/>
                <w:sz w:val="24"/>
              </w:rPr>
              <w:t>资料显示评价区内分布有</w:t>
            </w:r>
            <w:r>
              <w:rPr>
                <w:b/>
                <w:bCs/>
                <w:color w:val="auto"/>
                <w:sz w:val="24"/>
              </w:rPr>
              <w:t>国家二级重点保护鸟类画眉、橙翅噪鹛、红嘴相思鸟。</w:t>
            </w:r>
          </w:p>
          <w:p>
            <w:pPr>
              <w:spacing w:line="360" w:lineRule="auto"/>
              <w:ind w:firstLine="482" w:firstLineChars="200"/>
              <w:rPr>
                <w:b/>
                <w:bCs/>
                <w:color w:val="auto"/>
                <w:sz w:val="24"/>
              </w:rPr>
            </w:pPr>
            <w:r>
              <w:rPr>
                <w:b/>
                <w:bCs/>
                <w:color w:val="auto"/>
                <w:sz w:val="24"/>
              </w:rPr>
              <w:t>⑤兽类</w:t>
            </w:r>
          </w:p>
          <w:p>
            <w:pPr>
              <w:spacing w:line="360" w:lineRule="auto"/>
              <w:ind w:firstLine="480" w:firstLineChars="200"/>
              <w:rPr>
                <w:color w:val="auto"/>
                <w:sz w:val="24"/>
              </w:rPr>
            </w:pPr>
            <w:r>
              <w:rPr>
                <w:color w:val="auto"/>
                <w:sz w:val="24"/>
              </w:rPr>
              <w:t>A.物种组成</w:t>
            </w:r>
          </w:p>
          <w:p>
            <w:pPr>
              <w:spacing w:line="360" w:lineRule="auto"/>
              <w:ind w:firstLine="480" w:firstLineChars="200"/>
              <w:rPr>
                <w:color w:val="auto"/>
                <w:sz w:val="24"/>
              </w:rPr>
            </w:pPr>
            <w:r>
              <w:rPr>
                <w:color w:val="auto"/>
                <w:sz w:val="24"/>
              </w:rPr>
              <w:t>根据野外调查和文献，确认四川嘉陵江源湿地市级自然保护区评价区兽类18种，6目9科。从区系及分布型来看，古北界6种，占33.3%；东洋界11种，占61.1%；广布种1种，占5.6%。其中，东洋型7种，古北型5种，南中国型3种，喜马拉雅-横断山型1种，季风型1种，广布型1种。</w:t>
            </w:r>
          </w:p>
          <w:p>
            <w:pPr>
              <w:spacing w:line="360" w:lineRule="auto"/>
              <w:ind w:firstLine="480" w:firstLineChars="200"/>
              <w:rPr>
                <w:color w:val="auto"/>
                <w:sz w:val="24"/>
              </w:rPr>
            </w:pPr>
            <w:r>
              <w:rPr>
                <w:color w:val="auto"/>
                <w:sz w:val="24"/>
              </w:rPr>
              <w:t>B.评价区兽类的生态分布</w:t>
            </w:r>
          </w:p>
          <w:p>
            <w:pPr>
              <w:spacing w:line="360" w:lineRule="auto"/>
              <w:ind w:firstLine="480" w:firstLineChars="200"/>
              <w:rPr>
                <w:color w:val="auto"/>
                <w:sz w:val="24"/>
              </w:rPr>
            </w:pPr>
            <w:r>
              <w:rPr>
                <w:color w:val="auto"/>
                <w:sz w:val="24"/>
              </w:rPr>
              <w:t>根据调查区植被分布的特点，将调查区兽类分布的生境划分为以下几种类型：</w:t>
            </w:r>
          </w:p>
          <w:p>
            <w:pPr>
              <w:spacing w:line="360" w:lineRule="auto"/>
              <w:ind w:firstLine="480" w:firstLineChars="200"/>
              <w:rPr>
                <w:color w:val="auto"/>
                <w:sz w:val="24"/>
              </w:rPr>
            </w:pPr>
            <w:r>
              <w:rPr>
                <w:color w:val="auto"/>
                <w:sz w:val="24"/>
              </w:rPr>
              <w:t>灌草丛环境：主要为山体下部的范围，分布于该区的兽类主要有褐家鼠（Rattusnorvegicus）、小家鼠（Musmusculus）、社鼠Niviventerconfucianus）等。</w:t>
            </w:r>
          </w:p>
          <w:p>
            <w:pPr>
              <w:spacing w:line="360" w:lineRule="auto"/>
              <w:ind w:firstLine="480" w:firstLineChars="200"/>
              <w:rPr>
                <w:color w:val="auto"/>
                <w:sz w:val="24"/>
              </w:rPr>
            </w:pPr>
            <w:r>
              <w:rPr>
                <w:color w:val="auto"/>
                <w:sz w:val="24"/>
              </w:rPr>
              <w:t>森林环境：主要为柏木林和灌丛，其中分布的动物较少，包括赤腹松鼠、猪獾、野猪、黄鼬、草兔等。</w:t>
            </w:r>
          </w:p>
          <w:p>
            <w:pPr>
              <w:spacing w:line="360" w:lineRule="auto"/>
              <w:ind w:firstLine="480" w:firstLineChars="200"/>
              <w:rPr>
                <w:color w:val="auto"/>
                <w:sz w:val="24"/>
              </w:rPr>
            </w:pPr>
            <w:r>
              <w:rPr>
                <w:color w:val="auto"/>
                <w:sz w:val="24"/>
              </w:rPr>
              <w:t>农田及居民区：分布有褐家鼠、小家鼠、角菊头蝠、黄胸鼠等。</w:t>
            </w:r>
          </w:p>
          <w:p>
            <w:pPr>
              <w:spacing w:line="360" w:lineRule="auto"/>
              <w:ind w:firstLine="480" w:firstLineChars="200"/>
              <w:rPr>
                <w:color w:val="auto"/>
                <w:sz w:val="24"/>
              </w:rPr>
            </w:pPr>
            <w:r>
              <w:rPr>
                <w:color w:val="auto"/>
                <w:sz w:val="24"/>
              </w:rPr>
              <w:t>C.珍稀保护兽类及生态习性和分布</w:t>
            </w:r>
          </w:p>
          <w:p>
            <w:pPr>
              <w:spacing w:line="360" w:lineRule="auto"/>
              <w:ind w:firstLine="482" w:firstLineChars="200"/>
              <w:rPr>
                <w:b/>
                <w:bCs/>
                <w:color w:val="auto"/>
                <w:sz w:val="24"/>
              </w:rPr>
            </w:pPr>
            <w:r>
              <w:rPr>
                <w:b/>
                <w:bCs/>
                <w:color w:val="auto"/>
                <w:sz w:val="24"/>
              </w:rPr>
              <w:t>调查中未发现属国家及地方保护的兽类类物种。</w:t>
            </w:r>
          </w:p>
          <w:p>
            <w:pPr>
              <w:spacing w:line="360" w:lineRule="auto"/>
              <w:ind w:firstLine="482" w:firstLineChars="200"/>
              <w:rPr>
                <w:b/>
                <w:bCs/>
                <w:color w:val="auto"/>
                <w:sz w:val="24"/>
              </w:rPr>
            </w:pPr>
            <w:r>
              <w:rPr>
                <w:b/>
                <w:bCs/>
                <w:color w:val="auto"/>
                <w:sz w:val="24"/>
              </w:rPr>
              <w:t>5、水生生态现状</w:t>
            </w:r>
          </w:p>
          <w:p>
            <w:pPr>
              <w:spacing w:line="360" w:lineRule="auto"/>
              <w:ind w:firstLine="480" w:firstLineChars="200"/>
              <w:rPr>
                <w:color w:val="auto"/>
                <w:sz w:val="24"/>
              </w:rPr>
            </w:pPr>
            <w:r>
              <w:rPr>
                <w:color w:val="auto"/>
                <w:sz w:val="24"/>
              </w:rPr>
              <w:t>河流水生生态系统以保护嘉陵江主干道及其四条主要支流组成的重要淡水河流生态系统。其中，嘉陵江干流属于中间段，生态系统开发性最强，受到来自其上游水质环境的影响较强烈，生态系统保护难度较大，同时由于其大的河道面积和水体流量，对保护区整体生态环境影响也较明显，河流中的鱼类也十分丰富，因此，其河流水生生态系统是保护区重要的保护对象。</w:t>
            </w:r>
          </w:p>
          <w:p>
            <w:pPr>
              <w:spacing w:line="360" w:lineRule="auto"/>
              <w:ind w:firstLine="480" w:firstLineChars="200"/>
              <w:rPr>
                <w:color w:val="auto"/>
                <w:sz w:val="24"/>
              </w:rPr>
            </w:pPr>
            <w:r>
              <w:rPr>
                <w:color w:val="auto"/>
                <w:sz w:val="24"/>
              </w:rPr>
              <w:t>潜溪河、安乐河、羊木河及鱼洞河等主要支流是嘉陵江重要的供给水源，生态环境受到外来干扰较小，保护难度相对较小，可以通过加强管理和保护，达到提高整个河流水生生态系统稳定的目的，为大量的鱼类、两栖、爬行动物提供优良的捕食、繁育和栖息场所，确保发挥嘉陵江源最重要的湿地生态功能。</w:t>
            </w:r>
          </w:p>
          <w:p>
            <w:pPr>
              <w:spacing w:line="360" w:lineRule="auto"/>
              <w:ind w:firstLine="482" w:firstLineChars="200"/>
              <w:rPr>
                <w:b/>
                <w:bCs/>
                <w:color w:val="auto"/>
                <w:sz w:val="24"/>
              </w:rPr>
            </w:pPr>
            <w:r>
              <w:rPr>
                <w:b/>
                <w:bCs/>
                <w:color w:val="auto"/>
                <w:sz w:val="24"/>
              </w:rPr>
              <w:t>（1）水生植物资源</w:t>
            </w:r>
          </w:p>
          <w:p>
            <w:pPr>
              <w:spacing w:line="360" w:lineRule="auto"/>
              <w:ind w:firstLine="480" w:firstLineChars="200"/>
              <w:rPr>
                <w:color w:val="auto"/>
                <w:sz w:val="24"/>
              </w:rPr>
            </w:pPr>
            <w:r>
              <w:rPr>
                <w:color w:val="auto"/>
                <w:sz w:val="24"/>
              </w:rPr>
              <w:t>本次调查评价区藻类植物共计有3门10科14属25种。其中蓝藻门3科、3属、4种，占调查中藻类植物种类总数的16%；硅藻门5科、9属、17种，占总种数的68%；绿藻门2科、2属、4种、占总种数的16%。</w:t>
            </w:r>
          </w:p>
          <w:p>
            <w:pPr>
              <w:widowControl/>
              <w:numPr>
                <w:ilvl w:val="0"/>
                <w:numId w:val="8"/>
              </w:numPr>
              <w:adjustRightInd w:val="0"/>
              <w:snapToGrid w:val="0"/>
              <w:jc w:val="center"/>
              <w:rPr>
                <w:b/>
                <w:color w:val="auto"/>
                <w:szCs w:val="18"/>
              </w:rPr>
            </w:pPr>
            <w:r>
              <w:rPr>
                <w:b/>
                <w:color w:val="auto"/>
                <w:szCs w:val="18"/>
              </w:rPr>
              <w:t>影响评价区藻类植物区系组成</w:t>
            </w:r>
          </w:p>
          <w:tbl>
            <w:tblPr>
              <w:tblStyle w:val="36"/>
              <w:tblW w:w="506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2208"/>
              <w:gridCol w:w="1283"/>
              <w:gridCol w:w="1656"/>
              <w:gridCol w:w="1660"/>
              <w:gridCol w:w="17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tblHeader/>
                <w:jc w:val="center"/>
              </w:trPr>
              <w:tc>
                <w:tcPr>
                  <w:tcW w:w="1287" w:type="pct"/>
                  <w:vAlign w:val="center"/>
                </w:tcPr>
                <w:p>
                  <w:pPr>
                    <w:pStyle w:val="80"/>
                    <w:rPr>
                      <w:color w:val="auto"/>
                      <w:kern w:val="0"/>
                      <w:sz w:val="21"/>
                      <w:szCs w:val="21"/>
                    </w:rPr>
                  </w:pPr>
                  <w:r>
                    <w:rPr>
                      <w:color w:val="auto"/>
                      <w:kern w:val="0"/>
                      <w:sz w:val="21"/>
                      <w:szCs w:val="21"/>
                    </w:rPr>
                    <w:t>门类</w:t>
                  </w:r>
                </w:p>
              </w:tc>
              <w:tc>
                <w:tcPr>
                  <w:tcW w:w="748" w:type="pct"/>
                  <w:vAlign w:val="center"/>
                </w:tcPr>
                <w:p>
                  <w:pPr>
                    <w:pStyle w:val="80"/>
                    <w:rPr>
                      <w:color w:val="auto"/>
                      <w:sz w:val="21"/>
                      <w:szCs w:val="21"/>
                    </w:rPr>
                  </w:pPr>
                  <w:r>
                    <w:rPr>
                      <w:color w:val="auto"/>
                      <w:sz w:val="21"/>
                      <w:szCs w:val="21"/>
                    </w:rPr>
                    <w:t>科</w:t>
                  </w:r>
                </w:p>
              </w:tc>
              <w:tc>
                <w:tcPr>
                  <w:tcW w:w="966" w:type="pct"/>
                  <w:vAlign w:val="center"/>
                </w:tcPr>
                <w:p>
                  <w:pPr>
                    <w:pStyle w:val="80"/>
                    <w:rPr>
                      <w:color w:val="auto"/>
                      <w:sz w:val="21"/>
                      <w:szCs w:val="21"/>
                    </w:rPr>
                  </w:pPr>
                  <w:r>
                    <w:rPr>
                      <w:color w:val="auto"/>
                      <w:sz w:val="21"/>
                      <w:szCs w:val="21"/>
                    </w:rPr>
                    <w:t>属</w:t>
                  </w:r>
                </w:p>
              </w:tc>
              <w:tc>
                <w:tcPr>
                  <w:tcW w:w="968" w:type="pct"/>
                  <w:vAlign w:val="center"/>
                </w:tcPr>
                <w:p>
                  <w:pPr>
                    <w:pStyle w:val="80"/>
                    <w:rPr>
                      <w:color w:val="auto"/>
                      <w:sz w:val="21"/>
                      <w:szCs w:val="21"/>
                    </w:rPr>
                  </w:pPr>
                  <w:r>
                    <w:rPr>
                      <w:color w:val="auto"/>
                      <w:sz w:val="21"/>
                      <w:szCs w:val="21"/>
                    </w:rPr>
                    <w:t>种</w:t>
                  </w:r>
                </w:p>
              </w:tc>
              <w:tc>
                <w:tcPr>
                  <w:tcW w:w="1030" w:type="pct"/>
                  <w:vAlign w:val="center"/>
                </w:tcPr>
                <w:p>
                  <w:pPr>
                    <w:pStyle w:val="80"/>
                    <w:rPr>
                      <w:color w:val="auto"/>
                      <w:sz w:val="21"/>
                      <w:szCs w:val="21"/>
                    </w:rPr>
                  </w:pPr>
                  <w:r>
                    <w:rPr>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287" w:type="pct"/>
                  <w:vAlign w:val="center"/>
                </w:tcPr>
                <w:p>
                  <w:pPr>
                    <w:widowControl/>
                    <w:jc w:val="center"/>
                    <w:textAlignment w:val="center"/>
                    <w:rPr>
                      <w:color w:val="auto"/>
                      <w:szCs w:val="21"/>
                    </w:rPr>
                  </w:pPr>
                  <w:r>
                    <w:rPr>
                      <w:color w:val="auto"/>
                    </w:rPr>
                    <w:t>蓝藻门</w:t>
                  </w:r>
                  <w:r>
                    <w:rPr>
                      <w:rFonts w:eastAsia="Times New Roman"/>
                      <w:color w:val="auto"/>
                    </w:rPr>
                    <w:t>Cyanophyta</w:t>
                  </w:r>
                </w:p>
              </w:tc>
              <w:tc>
                <w:tcPr>
                  <w:tcW w:w="748" w:type="pct"/>
                  <w:vAlign w:val="center"/>
                </w:tcPr>
                <w:p>
                  <w:pPr>
                    <w:widowControl/>
                    <w:jc w:val="center"/>
                    <w:textAlignment w:val="center"/>
                    <w:rPr>
                      <w:color w:val="auto"/>
                      <w:szCs w:val="21"/>
                    </w:rPr>
                  </w:pPr>
                  <w:r>
                    <w:rPr>
                      <w:color w:val="auto"/>
                      <w:szCs w:val="21"/>
                    </w:rPr>
                    <w:t>3</w:t>
                  </w:r>
                </w:p>
              </w:tc>
              <w:tc>
                <w:tcPr>
                  <w:tcW w:w="966" w:type="pct"/>
                  <w:vAlign w:val="center"/>
                </w:tcPr>
                <w:p>
                  <w:pPr>
                    <w:widowControl/>
                    <w:jc w:val="center"/>
                    <w:textAlignment w:val="center"/>
                    <w:rPr>
                      <w:color w:val="auto"/>
                      <w:szCs w:val="21"/>
                      <w:lang w:bidi="ar"/>
                    </w:rPr>
                  </w:pPr>
                  <w:r>
                    <w:rPr>
                      <w:color w:val="auto"/>
                      <w:szCs w:val="21"/>
                      <w:lang w:bidi="ar"/>
                    </w:rPr>
                    <w:t>3</w:t>
                  </w:r>
                </w:p>
              </w:tc>
              <w:tc>
                <w:tcPr>
                  <w:tcW w:w="968" w:type="pct"/>
                  <w:vAlign w:val="center"/>
                </w:tcPr>
                <w:p>
                  <w:pPr>
                    <w:widowControl/>
                    <w:jc w:val="center"/>
                    <w:textAlignment w:val="center"/>
                    <w:rPr>
                      <w:color w:val="auto"/>
                      <w:szCs w:val="21"/>
                      <w:lang w:bidi="ar"/>
                    </w:rPr>
                  </w:pPr>
                  <w:r>
                    <w:rPr>
                      <w:color w:val="auto"/>
                      <w:szCs w:val="21"/>
                      <w:lang w:bidi="ar"/>
                    </w:rPr>
                    <w:t>4</w:t>
                  </w:r>
                </w:p>
              </w:tc>
              <w:tc>
                <w:tcPr>
                  <w:tcW w:w="1030" w:type="pct"/>
                  <w:vAlign w:val="center"/>
                </w:tcPr>
                <w:p>
                  <w:pPr>
                    <w:widowControl/>
                    <w:jc w:val="center"/>
                    <w:textAlignment w:val="center"/>
                    <w:rPr>
                      <w:color w:val="auto"/>
                      <w:szCs w:val="21"/>
                    </w:rPr>
                  </w:pPr>
                  <w:r>
                    <w:rPr>
                      <w:color w:val="auto"/>
                      <w:szCs w:val="21"/>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287" w:type="pct"/>
                  <w:vAlign w:val="center"/>
                </w:tcPr>
                <w:p>
                  <w:pPr>
                    <w:widowControl/>
                    <w:jc w:val="center"/>
                    <w:textAlignment w:val="center"/>
                    <w:rPr>
                      <w:color w:val="auto"/>
                    </w:rPr>
                  </w:pPr>
                  <w:r>
                    <w:rPr>
                      <w:color w:val="auto"/>
                    </w:rPr>
                    <w:t>硅藻门Bacillarophyta</w:t>
                  </w:r>
                </w:p>
              </w:tc>
              <w:tc>
                <w:tcPr>
                  <w:tcW w:w="748" w:type="pct"/>
                  <w:vAlign w:val="center"/>
                </w:tcPr>
                <w:p>
                  <w:pPr>
                    <w:widowControl/>
                    <w:jc w:val="center"/>
                    <w:textAlignment w:val="center"/>
                    <w:rPr>
                      <w:color w:val="auto"/>
                      <w:szCs w:val="21"/>
                    </w:rPr>
                  </w:pPr>
                  <w:r>
                    <w:rPr>
                      <w:color w:val="auto"/>
                      <w:szCs w:val="21"/>
                    </w:rPr>
                    <w:t>5</w:t>
                  </w:r>
                </w:p>
              </w:tc>
              <w:tc>
                <w:tcPr>
                  <w:tcW w:w="966" w:type="pct"/>
                  <w:vAlign w:val="center"/>
                </w:tcPr>
                <w:p>
                  <w:pPr>
                    <w:widowControl/>
                    <w:jc w:val="center"/>
                    <w:textAlignment w:val="center"/>
                    <w:rPr>
                      <w:color w:val="auto"/>
                      <w:szCs w:val="21"/>
                      <w:lang w:bidi="ar"/>
                    </w:rPr>
                  </w:pPr>
                  <w:r>
                    <w:rPr>
                      <w:color w:val="auto"/>
                      <w:szCs w:val="21"/>
                      <w:lang w:bidi="ar"/>
                    </w:rPr>
                    <w:t>9</w:t>
                  </w:r>
                </w:p>
              </w:tc>
              <w:tc>
                <w:tcPr>
                  <w:tcW w:w="968" w:type="pct"/>
                  <w:vAlign w:val="center"/>
                </w:tcPr>
                <w:p>
                  <w:pPr>
                    <w:widowControl/>
                    <w:jc w:val="center"/>
                    <w:textAlignment w:val="center"/>
                    <w:rPr>
                      <w:color w:val="auto"/>
                      <w:szCs w:val="21"/>
                      <w:lang w:bidi="ar"/>
                    </w:rPr>
                  </w:pPr>
                  <w:r>
                    <w:rPr>
                      <w:color w:val="auto"/>
                      <w:szCs w:val="21"/>
                      <w:lang w:bidi="ar"/>
                    </w:rPr>
                    <w:t>17</w:t>
                  </w:r>
                </w:p>
              </w:tc>
              <w:tc>
                <w:tcPr>
                  <w:tcW w:w="1030" w:type="pct"/>
                  <w:vAlign w:val="center"/>
                </w:tcPr>
                <w:p>
                  <w:pPr>
                    <w:widowControl/>
                    <w:jc w:val="center"/>
                    <w:textAlignment w:val="center"/>
                    <w:rPr>
                      <w:color w:val="auto"/>
                      <w:szCs w:val="21"/>
                    </w:rPr>
                  </w:pPr>
                  <w:r>
                    <w:rPr>
                      <w:color w:val="auto"/>
                      <w:szCs w:val="21"/>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287" w:type="pct"/>
                  <w:vAlign w:val="center"/>
                </w:tcPr>
                <w:p>
                  <w:pPr>
                    <w:widowControl/>
                    <w:jc w:val="center"/>
                    <w:textAlignment w:val="center"/>
                    <w:rPr>
                      <w:color w:val="auto"/>
                    </w:rPr>
                  </w:pPr>
                  <w:r>
                    <w:rPr>
                      <w:color w:val="auto"/>
                    </w:rPr>
                    <w:t>绿藻门Chlorophyta</w:t>
                  </w:r>
                </w:p>
              </w:tc>
              <w:tc>
                <w:tcPr>
                  <w:tcW w:w="748" w:type="pct"/>
                  <w:vAlign w:val="center"/>
                </w:tcPr>
                <w:p>
                  <w:pPr>
                    <w:widowControl/>
                    <w:jc w:val="center"/>
                    <w:textAlignment w:val="center"/>
                    <w:rPr>
                      <w:color w:val="auto"/>
                      <w:szCs w:val="21"/>
                    </w:rPr>
                  </w:pPr>
                  <w:r>
                    <w:rPr>
                      <w:color w:val="auto"/>
                      <w:szCs w:val="21"/>
                    </w:rPr>
                    <w:t>2</w:t>
                  </w:r>
                </w:p>
              </w:tc>
              <w:tc>
                <w:tcPr>
                  <w:tcW w:w="966" w:type="pct"/>
                  <w:vAlign w:val="center"/>
                </w:tcPr>
                <w:p>
                  <w:pPr>
                    <w:widowControl/>
                    <w:jc w:val="center"/>
                    <w:textAlignment w:val="center"/>
                    <w:rPr>
                      <w:color w:val="auto"/>
                      <w:szCs w:val="21"/>
                      <w:lang w:bidi="ar"/>
                    </w:rPr>
                  </w:pPr>
                  <w:r>
                    <w:rPr>
                      <w:color w:val="auto"/>
                      <w:szCs w:val="21"/>
                      <w:lang w:bidi="ar"/>
                    </w:rPr>
                    <w:t>2</w:t>
                  </w:r>
                </w:p>
              </w:tc>
              <w:tc>
                <w:tcPr>
                  <w:tcW w:w="968" w:type="pct"/>
                  <w:vAlign w:val="center"/>
                </w:tcPr>
                <w:p>
                  <w:pPr>
                    <w:widowControl/>
                    <w:jc w:val="center"/>
                    <w:textAlignment w:val="center"/>
                    <w:rPr>
                      <w:color w:val="auto"/>
                      <w:szCs w:val="21"/>
                      <w:lang w:bidi="ar"/>
                    </w:rPr>
                  </w:pPr>
                  <w:r>
                    <w:rPr>
                      <w:color w:val="auto"/>
                      <w:szCs w:val="21"/>
                      <w:lang w:bidi="ar"/>
                    </w:rPr>
                    <w:t>4</w:t>
                  </w:r>
                </w:p>
              </w:tc>
              <w:tc>
                <w:tcPr>
                  <w:tcW w:w="1030" w:type="pct"/>
                  <w:vAlign w:val="center"/>
                </w:tcPr>
                <w:p>
                  <w:pPr>
                    <w:widowControl/>
                    <w:jc w:val="center"/>
                    <w:textAlignment w:val="center"/>
                    <w:rPr>
                      <w:color w:val="auto"/>
                      <w:szCs w:val="21"/>
                    </w:rPr>
                  </w:pPr>
                  <w:r>
                    <w:rPr>
                      <w:color w:val="auto"/>
                      <w:szCs w:val="21"/>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1287" w:type="pct"/>
                  <w:vAlign w:val="center"/>
                </w:tcPr>
                <w:p>
                  <w:pPr>
                    <w:widowControl/>
                    <w:jc w:val="center"/>
                    <w:textAlignment w:val="center"/>
                    <w:rPr>
                      <w:color w:val="auto"/>
                    </w:rPr>
                  </w:pPr>
                  <w:r>
                    <w:rPr>
                      <w:color w:val="auto"/>
                    </w:rPr>
                    <w:t>合计</w:t>
                  </w:r>
                </w:p>
              </w:tc>
              <w:tc>
                <w:tcPr>
                  <w:tcW w:w="748" w:type="pct"/>
                  <w:vAlign w:val="center"/>
                </w:tcPr>
                <w:p>
                  <w:pPr>
                    <w:widowControl/>
                    <w:jc w:val="center"/>
                    <w:textAlignment w:val="center"/>
                    <w:rPr>
                      <w:color w:val="auto"/>
                      <w:szCs w:val="21"/>
                    </w:rPr>
                  </w:pPr>
                  <w:r>
                    <w:rPr>
                      <w:color w:val="auto"/>
                      <w:szCs w:val="21"/>
                    </w:rPr>
                    <w:t>10</w:t>
                  </w:r>
                </w:p>
              </w:tc>
              <w:tc>
                <w:tcPr>
                  <w:tcW w:w="966" w:type="pct"/>
                  <w:vAlign w:val="center"/>
                </w:tcPr>
                <w:p>
                  <w:pPr>
                    <w:widowControl/>
                    <w:jc w:val="center"/>
                    <w:textAlignment w:val="center"/>
                    <w:rPr>
                      <w:color w:val="auto"/>
                      <w:szCs w:val="21"/>
                      <w:lang w:bidi="ar"/>
                    </w:rPr>
                  </w:pPr>
                  <w:r>
                    <w:rPr>
                      <w:color w:val="auto"/>
                      <w:szCs w:val="21"/>
                      <w:lang w:bidi="ar"/>
                    </w:rPr>
                    <w:t>14</w:t>
                  </w:r>
                </w:p>
              </w:tc>
              <w:tc>
                <w:tcPr>
                  <w:tcW w:w="968" w:type="pct"/>
                  <w:vAlign w:val="center"/>
                </w:tcPr>
                <w:p>
                  <w:pPr>
                    <w:widowControl/>
                    <w:jc w:val="center"/>
                    <w:textAlignment w:val="center"/>
                    <w:rPr>
                      <w:color w:val="auto"/>
                      <w:szCs w:val="21"/>
                      <w:lang w:bidi="ar"/>
                    </w:rPr>
                  </w:pPr>
                  <w:r>
                    <w:rPr>
                      <w:color w:val="auto"/>
                      <w:szCs w:val="21"/>
                      <w:lang w:bidi="ar"/>
                    </w:rPr>
                    <w:t>25</w:t>
                  </w:r>
                </w:p>
              </w:tc>
              <w:tc>
                <w:tcPr>
                  <w:tcW w:w="1030" w:type="pct"/>
                  <w:vAlign w:val="center"/>
                </w:tcPr>
                <w:p>
                  <w:pPr>
                    <w:widowControl/>
                    <w:jc w:val="center"/>
                    <w:textAlignment w:val="center"/>
                    <w:rPr>
                      <w:color w:val="auto"/>
                      <w:szCs w:val="21"/>
                    </w:rPr>
                  </w:pPr>
                  <w:r>
                    <w:rPr>
                      <w:color w:val="auto"/>
                      <w:szCs w:val="21"/>
                    </w:rPr>
                    <w:t>100</w:t>
                  </w:r>
                </w:p>
              </w:tc>
            </w:tr>
          </w:tbl>
          <w:p>
            <w:pPr>
              <w:spacing w:line="360" w:lineRule="auto"/>
              <w:ind w:firstLine="480" w:firstLineChars="200"/>
              <w:rPr>
                <w:color w:val="auto"/>
                <w:sz w:val="24"/>
              </w:rPr>
            </w:pPr>
            <w:r>
              <w:rPr>
                <w:color w:val="auto"/>
                <w:sz w:val="24"/>
              </w:rPr>
              <w:t>评价区河流断面为嘉陵江中上游的干流，属自然河段，水流速度较快及水体透明度差。在这种水体中，硅藻门的种类较多，占绝对优势。绿藻门和蓝藻门的种类次之。</w:t>
            </w:r>
          </w:p>
          <w:p>
            <w:pPr>
              <w:spacing w:line="360" w:lineRule="auto"/>
              <w:ind w:firstLine="480" w:firstLineChars="200"/>
              <w:rPr>
                <w:color w:val="auto"/>
                <w:sz w:val="24"/>
              </w:rPr>
            </w:pPr>
            <w:r>
              <w:rPr>
                <w:color w:val="auto"/>
                <w:sz w:val="24"/>
              </w:rPr>
              <w:t>评价区各采样点属亚热带湿润气候区，气候较温和，雨量较充沛，四季分明。沿江两岸台地及缓坡多为农耕地，陡坡多为林地及荒草坡。人为活动频繁，农耕区多。</w:t>
            </w:r>
          </w:p>
          <w:p>
            <w:pPr>
              <w:spacing w:line="360" w:lineRule="auto"/>
              <w:ind w:firstLine="480" w:firstLineChars="200"/>
              <w:rPr>
                <w:color w:val="auto"/>
                <w:sz w:val="24"/>
              </w:rPr>
            </w:pPr>
            <w:r>
              <w:rPr>
                <w:color w:val="auto"/>
                <w:sz w:val="24"/>
              </w:rPr>
              <w:t>在正常水体中，浮游藻类群落结构是相对稳定的。当水体受到污染后，群落中不耐污染的敏感种类往往会减少或消失，而耐污种类的个体数量则大大增加。污染程度不同，减少或消失的种类不同，耐污染种类的个体数量增加亦不同。</w:t>
            </w:r>
          </w:p>
          <w:p>
            <w:pPr>
              <w:spacing w:line="360" w:lineRule="auto"/>
              <w:ind w:firstLine="482" w:firstLineChars="200"/>
              <w:rPr>
                <w:b/>
                <w:bCs/>
                <w:color w:val="auto"/>
                <w:sz w:val="24"/>
              </w:rPr>
            </w:pPr>
            <w:r>
              <w:rPr>
                <w:b/>
                <w:bCs/>
                <w:color w:val="auto"/>
                <w:sz w:val="24"/>
              </w:rPr>
              <w:t>（2）鱼类</w:t>
            </w:r>
          </w:p>
          <w:p>
            <w:pPr>
              <w:spacing w:line="360" w:lineRule="auto"/>
              <w:ind w:firstLine="480" w:firstLineChars="200"/>
              <w:rPr>
                <w:color w:val="auto"/>
                <w:sz w:val="24"/>
              </w:rPr>
            </w:pPr>
            <w:r>
              <w:rPr>
                <w:color w:val="auto"/>
                <w:sz w:val="24"/>
              </w:rPr>
              <w:t>①物种组成</w:t>
            </w:r>
          </w:p>
          <w:p>
            <w:pPr>
              <w:spacing w:line="360" w:lineRule="auto"/>
              <w:ind w:firstLine="480" w:firstLineChars="200"/>
              <w:rPr>
                <w:color w:val="auto"/>
                <w:sz w:val="24"/>
              </w:rPr>
            </w:pPr>
            <w:r>
              <w:rPr>
                <w:color w:val="auto"/>
                <w:sz w:val="24"/>
              </w:rPr>
              <w:t>根据野外调查和文献，确认在四川嘉陵江源湿地市级自然保护区评价区域内共分布有51种鱼类，隶属于4目7科。</w:t>
            </w:r>
          </w:p>
          <w:p>
            <w:pPr>
              <w:spacing w:line="360" w:lineRule="auto"/>
              <w:ind w:firstLine="480" w:firstLineChars="200"/>
              <w:rPr>
                <w:color w:val="auto"/>
                <w:sz w:val="24"/>
              </w:rPr>
            </w:pPr>
            <w:r>
              <w:rPr>
                <w:color w:val="auto"/>
                <w:sz w:val="24"/>
              </w:rPr>
              <w:t>②生态类型</w:t>
            </w:r>
          </w:p>
          <w:p>
            <w:pPr>
              <w:spacing w:line="360" w:lineRule="auto"/>
              <w:ind w:firstLine="480" w:firstLineChars="200"/>
              <w:rPr>
                <w:color w:val="auto"/>
                <w:sz w:val="24"/>
              </w:rPr>
            </w:pPr>
            <w:r>
              <w:rPr>
                <w:color w:val="auto"/>
                <w:sz w:val="24"/>
              </w:rPr>
              <w:t>鱼类生态习性及生态类型是鱼类生态学的重要研究内容，可以为系统研究鱼类和所栖息水环境之间的关系以及开展鱼类资源保护提供重要参考。按鱼类的生活习性及其主要生活环境，可以将评价区内的51种鱼类分为底栖性鱼类、中-下层鱼类和中-上层鱼类3种栖息习性，具体可以分成下列生态类群：</w:t>
            </w:r>
          </w:p>
          <w:p>
            <w:pPr>
              <w:spacing w:line="360" w:lineRule="auto"/>
              <w:ind w:firstLine="482" w:firstLineChars="200"/>
              <w:rPr>
                <w:b/>
                <w:bCs/>
                <w:color w:val="auto"/>
                <w:sz w:val="24"/>
              </w:rPr>
            </w:pPr>
            <w:r>
              <w:rPr>
                <w:b/>
                <w:bCs/>
                <w:color w:val="auto"/>
                <w:sz w:val="24"/>
              </w:rPr>
              <w:t>流水底层乱石、礁底栖性类群</w:t>
            </w:r>
          </w:p>
          <w:p>
            <w:pPr>
              <w:spacing w:line="360" w:lineRule="auto"/>
              <w:ind w:firstLine="480" w:firstLineChars="200"/>
              <w:rPr>
                <w:color w:val="auto"/>
                <w:sz w:val="24"/>
              </w:rPr>
            </w:pPr>
            <w:r>
              <w:rPr>
                <w:color w:val="auto"/>
                <w:sz w:val="24"/>
              </w:rPr>
              <w:t>栖息环境为流水深沱，底层多乱石，水流较缓，如粗唇鮠等种类。</w:t>
            </w:r>
          </w:p>
          <w:p>
            <w:pPr>
              <w:spacing w:line="360" w:lineRule="auto"/>
              <w:ind w:firstLine="482" w:firstLineChars="200"/>
              <w:rPr>
                <w:b/>
                <w:bCs/>
                <w:color w:val="auto"/>
                <w:sz w:val="24"/>
              </w:rPr>
            </w:pPr>
            <w:r>
              <w:rPr>
                <w:b/>
                <w:bCs/>
                <w:color w:val="auto"/>
                <w:sz w:val="24"/>
              </w:rPr>
              <w:t>流水急流水中、下层类群</w:t>
            </w:r>
          </w:p>
          <w:p>
            <w:pPr>
              <w:spacing w:line="360" w:lineRule="auto"/>
              <w:ind w:firstLine="480" w:firstLineChars="200"/>
              <w:rPr>
                <w:color w:val="auto"/>
                <w:sz w:val="24"/>
              </w:rPr>
            </w:pPr>
            <w:r>
              <w:rPr>
                <w:color w:val="auto"/>
                <w:sz w:val="24"/>
              </w:rPr>
              <w:t>该类群主要生活在江河水体的中下层，部分种类适应性较强，在流水、缓流水及静水都能生存，身体较长、侧扁，适应于流水、急流水中穿梭游泳，活动掠食；头部呈锥形，适应于破水前进，躯干部较长，是产生强大运动的动力源，各鳍发达，尾鳍深叉形，都是适应水体中、下层快速游泳，在急流水体中、下层穿梭翻滚捕食低等动物和流水急流水带来的有机食物。在评价区域内主要有鲤科的鲤、鲫，鲿科的粗唇鮠、切尾拟鲿等种类。</w:t>
            </w:r>
          </w:p>
          <w:p>
            <w:pPr>
              <w:spacing w:line="360" w:lineRule="auto"/>
              <w:ind w:firstLine="482" w:firstLineChars="200"/>
              <w:rPr>
                <w:b/>
                <w:bCs/>
                <w:color w:val="auto"/>
                <w:sz w:val="24"/>
              </w:rPr>
            </w:pPr>
            <w:r>
              <w:rPr>
                <w:b/>
                <w:bCs/>
                <w:color w:val="auto"/>
                <w:sz w:val="24"/>
              </w:rPr>
              <w:t>流水洞穴生态类群</w:t>
            </w:r>
          </w:p>
          <w:p>
            <w:pPr>
              <w:spacing w:line="360" w:lineRule="auto"/>
              <w:ind w:firstLine="480" w:firstLineChars="200"/>
              <w:rPr>
                <w:color w:val="auto"/>
                <w:sz w:val="24"/>
              </w:rPr>
            </w:pPr>
            <w:r>
              <w:rPr>
                <w:color w:val="auto"/>
                <w:sz w:val="24"/>
              </w:rPr>
              <w:t>该类群的鱼类主要或完全生活在流水水体底层的各种岩洞缝隙中，主要以发达的口须觅食底栖穴动物，种类往往是个体较小的鳅类等。主要包括泥鳅、黄鳝等。</w:t>
            </w:r>
          </w:p>
          <w:p>
            <w:pPr>
              <w:spacing w:line="360" w:lineRule="auto"/>
              <w:ind w:firstLine="482" w:firstLineChars="200"/>
              <w:rPr>
                <w:b/>
                <w:bCs/>
                <w:color w:val="auto"/>
                <w:sz w:val="24"/>
              </w:rPr>
            </w:pPr>
            <w:r>
              <w:rPr>
                <w:b/>
                <w:bCs/>
                <w:color w:val="auto"/>
                <w:sz w:val="24"/>
              </w:rPr>
              <w:t>缓流水和静水生态类群</w:t>
            </w:r>
          </w:p>
          <w:p>
            <w:pPr>
              <w:spacing w:line="360" w:lineRule="auto"/>
              <w:ind w:firstLine="480" w:firstLineChars="200"/>
              <w:rPr>
                <w:color w:val="auto"/>
                <w:sz w:val="24"/>
              </w:rPr>
            </w:pPr>
            <w:r>
              <w:rPr>
                <w:color w:val="auto"/>
                <w:sz w:val="24"/>
              </w:rPr>
              <w:t>主要是一些小型种类，如宽鳍鱲、麦穗鱼等。此类群是一群生活在侧流、缓流水的鱼类，个体小，或身体极侧扁，游泳能力不强，各鳍均不甚发达。</w:t>
            </w:r>
          </w:p>
          <w:p>
            <w:pPr>
              <w:spacing w:line="360" w:lineRule="auto"/>
              <w:ind w:firstLine="482" w:firstLineChars="200"/>
              <w:rPr>
                <w:b/>
                <w:bCs/>
                <w:color w:val="auto"/>
                <w:sz w:val="24"/>
              </w:rPr>
            </w:pPr>
            <w:r>
              <w:rPr>
                <w:b/>
                <w:bCs/>
                <w:color w:val="auto"/>
                <w:sz w:val="24"/>
              </w:rPr>
              <w:t>流水中、上层生态类群</w:t>
            </w:r>
          </w:p>
          <w:p>
            <w:pPr>
              <w:spacing w:line="360" w:lineRule="auto"/>
              <w:ind w:firstLine="480" w:firstLineChars="200"/>
              <w:rPr>
                <w:color w:val="auto"/>
                <w:sz w:val="24"/>
              </w:rPr>
            </w:pPr>
            <w:r>
              <w:rPr>
                <w:color w:val="auto"/>
                <w:sz w:val="24"/>
              </w:rPr>
              <w:t>栖息、摄食、繁殖等主要活动在水体的中、上层完成，包括中华细鲫、高体鳑鲏、中华细鲫等种类。体长形，稍侧扁，腹部圆，适应于流水急流水体中、上层穿梭游泳，活动掠食；躯干部长，尾柄粗壮，是产生强大运动的动力源。</w:t>
            </w:r>
          </w:p>
          <w:p>
            <w:pPr>
              <w:spacing w:line="360" w:lineRule="auto"/>
              <w:ind w:firstLine="480" w:firstLineChars="200"/>
              <w:rPr>
                <w:color w:val="auto"/>
                <w:sz w:val="24"/>
              </w:rPr>
            </w:pPr>
            <w:r>
              <w:rPr>
                <w:color w:val="auto"/>
                <w:sz w:val="24"/>
              </w:rPr>
              <w:t>③特有物种</w:t>
            </w:r>
          </w:p>
          <w:p>
            <w:pPr>
              <w:spacing w:line="360" w:lineRule="auto"/>
              <w:ind w:firstLine="482" w:firstLineChars="200"/>
              <w:rPr>
                <w:b/>
                <w:bCs/>
                <w:color w:val="auto"/>
                <w:sz w:val="24"/>
              </w:rPr>
            </w:pPr>
            <w:r>
              <w:rPr>
                <w:b/>
                <w:bCs/>
                <w:color w:val="auto"/>
                <w:sz w:val="24"/>
              </w:rPr>
              <w:t>评价区内没有发现珍稀保护鱼类和特有种。</w:t>
            </w:r>
          </w:p>
          <w:p>
            <w:pPr>
              <w:spacing w:line="360" w:lineRule="auto"/>
              <w:ind w:firstLine="482" w:firstLineChars="200"/>
              <w:rPr>
                <w:b/>
                <w:bCs/>
                <w:color w:val="auto"/>
                <w:sz w:val="24"/>
              </w:rPr>
            </w:pPr>
            <w:r>
              <w:rPr>
                <w:b/>
                <w:bCs/>
                <w:color w:val="auto"/>
                <w:sz w:val="24"/>
              </w:rPr>
              <w:t>（3）浮游动物</w:t>
            </w:r>
          </w:p>
          <w:p>
            <w:pPr>
              <w:spacing w:line="360" w:lineRule="auto"/>
              <w:ind w:firstLine="480" w:firstLineChars="200"/>
              <w:rPr>
                <w:color w:val="auto"/>
                <w:sz w:val="24"/>
              </w:rPr>
            </w:pPr>
            <w:r>
              <w:rPr>
                <w:color w:val="auto"/>
                <w:sz w:val="24"/>
              </w:rPr>
              <w:t>浮游动物以水生细菌和浮游藻类为食，是属于水生生态系统中的消费者和第二营养级，亦称次级生产力，由于浮游动物摄取大量藻类，所以使水体产生自净作用，它也是所有幼鱼和某些成鱼的饵料基础。本次在各采样点采集到浮游动物3门27种，其中原生动物门6种，轮虫动物门14种，节肢动物门7种。</w:t>
            </w:r>
          </w:p>
          <w:p>
            <w:pPr>
              <w:spacing w:line="360" w:lineRule="auto"/>
              <w:ind w:firstLine="480" w:firstLineChars="200"/>
              <w:rPr>
                <w:color w:val="auto"/>
                <w:sz w:val="24"/>
              </w:rPr>
            </w:pPr>
            <w:r>
              <w:rPr>
                <w:color w:val="auto"/>
                <w:sz w:val="24"/>
              </w:rPr>
              <w:t>对工程影响水域不同采样点浮游动物进行定量统计，结果表明，三个采样点浮游动物密度依次为44、46、51个/L，平均密度为47个/L；湿重分别为：0.792、0.828、0.918mg/L，平均湿重为0.846mg/L，为广坪河鱼类提供丰富的天然饵料。</w:t>
            </w:r>
          </w:p>
          <w:p>
            <w:pPr>
              <w:spacing w:line="360" w:lineRule="auto"/>
              <w:ind w:firstLine="482" w:firstLineChars="200"/>
              <w:rPr>
                <w:b/>
                <w:bCs/>
                <w:color w:val="auto"/>
                <w:sz w:val="24"/>
              </w:rPr>
            </w:pPr>
            <w:r>
              <w:rPr>
                <w:b/>
                <w:bCs/>
                <w:color w:val="auto"/>
                <w:sz w:val="24"/>
              </w:rPr>
              <w:t>（4）底栖动物</w:t>
            </w:r>
          </w:p>
          <w:p>
            <w:pPr>
              <w:spacing w:line="360" w:lineRule="auto"/>
              <w:ind w:firstLine="480" w:firstLineChars="200"/>
              <w:rPr>
                <w:color w:val="auto"/>
                <w:sz w:val="24"/>
              </w:rPr>
            </w:pPr>
            <w:r>
              <w:rPr>
                <w:color w:val="auto"/>
                <w:sz w:val="24"/>
              </w:rPr>
              <w:t>底栖无脊椎动物是第三营养级的主要组成，也是原河道形态饵料生物中生物量较大的类群，为江河中多数鱼类的饵料基础，并且与江河鱼类的生态类群和区系组成有密切关系。本次调查结果表明，评价区的底栖动物有3门、6纲、13目、18属、28种，其中软体动物7种，环节动物门有3种，节肢动物10种。底栖无脊椎动物的种类相对单一，这与调查河段水体特性密切相关，工程河段平缓，两岸多农田和居民，河底多沙泥，由于农田废水和居民生活废水的排放，可能造成水体富养化，轻度到中度污染，适合耐低氧的底栖无脊椎动物生活，比如软体动物的螺类尤其丰富，而其他种类相对较少。底栖动物中，软体动物的密度都最高，说明广坪河干流生境很适于软体动物特别是螺类的生存与繁衍。</w:t>
            </w:r>
          </w:p>
          <w:p>
            <w:pPr>
              <w:spacing w:line="360" w:lineRule="auto"/>
              <w:ind w:firstLine="482" w:firstLineChars="200"/>
              <w:rPr>
                <w:b/>
                <w:bCs/>
                <w:color w:val="auto"/>
                <w:sz w:val="24"/>
              </w:rPr>
            </w:pPr>
            <w:r>
              <w:rPr>
                <w:b/>
                <w:bCs/>
                <w:color w:val="auto"/>
                <w:sz w:val="24"/>
              </w:rPr>
              <w:t>（5）鱼类“三场”</w:t>
            </w:r>
          </w:p>
          <w:p>
            <w:pPr>
              <w:spacing w:line="360" w:lineRule="auto"/>
              <w:ind w:firstLine="480" w:firstLineChars="200"/>
              <w:rPr>
                <w:color w:val="auto"/>
                <w:sz w:val="24"/>
              </w:rPr>
            </w:pPr>
            <w:r>
              <w:rPr>
                <w:color w:val="auto"/>
                <w:sz w:val="24"/>
              </w:rPr>
              <w:t>通过收集相关资料和调查，本项目建设区域不涉及鱼类三场，因位于实验区，对典型生态系统的影响较小。</w:t>
            </w:r>
          </w:p>
          <w:p>
            <w:pPr>
              <w:spacing w:line="360" w:lineRule="auto"/>
              <w:jc w:val="center"/>
              <w:rPr>
                <w:color w:val="auto"/>
              </w:rPr>
            </w:pPr>
            <w:r>
              <w:rPr>
                <w:color w:val="auto"/>
              </w:rPr>
              <w:drawing>
                <wp:inline distT="0" distB="0" distL="114300" distR="114300">
                  <wp:extent cx="5265420" cy="7176135"/>
                  <wp:effectExtent l="0" t="0" r="11430" b="571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1"/>
                          <a:stretch>
                            <a:fillRect/>
                          </a:stretch>
                        </pic:blipFill>
                        <pic:spPr>
                          <a:xfrm>
                            <a:off x="0" y="0"/>
                            <a:ext cx="5265420" cy="7176135"/>
                          </a:xfrm>
                          <a:prstGeom prst="rect">
                            <a:avLst/>
                          </a:prstGeom>
                          <a:noFill/>
                          <a:ln>
                            <a:noFill/>
                          </a:ln>
                        </pic:spPr>
                      </pic:pic>
                    </a:graphicData>
                  </a:graphic>
                </wp:inline>
              </w:drawing>
            </w:r>
          </w:p>
          <w:p>
            <w:pPr>
              <w:numPr>
                <w:ilvl w:val="0"/>
                <w:numId w:val="9"/>
              </w:numPr>
              <w:spacing w:line="360" w:lineRule="auto"/>
              <w:jc w:val="center"/>
              <w:rPr>
                <w:b/>
                <w:color w:val="auto"/>
                <w:szCs w:val="21"/>
              </w:rPr>
            </w:pPr>
            <w:r>
              <w:rPr>
                <w:b/>
                <w:color w:val="auto"/>
                <w:szCs w:val="21"/>
              </w:rPr>
              <w:t xml:space="preserve"> 评价区植被及动物样线、植物样方分布图</w:t>
            </w:r>
          </w:p>
          <w:p>
            <w:pPr>
              <w:spacing w:line="360" w:lineRule="auto"/>
              <w:ind w:firstLine="482" w:firstLineChars="200"/>
              <w:rPr>
                <w:b/>
                <w:bCs/>
                <w:color w:val="auto"/>
                <w:sz w:val="24"/>
              </w:rPr>
            </w:pPr>
            <w:r>
              <w:rPr>
                <w:b/>
                <w:bCs/>
                <w:color w:val="auto"/>
                <w:sz w:val="24"/>
              </w:rPr>
              <w:t>6、生态系统现状调查</w:t>
            </w:r>
          </w:p>
          <w:p>
            <w:pPr>
              <w:spacing w:line="360" w:lineRule="auto"/>
              <w:ind w:firstLine="480" w:firstLineChars="200"/>
              <w:rPr>
                <w:color w:val="auto"/>
                <w:sz w:val="24"/>
              </w:rPr>
            </w:pPr>
            <w:r>
              <w:rPr>
                <w:color w:val="auto"/>
                <w:sz w:val="24"/>
              </w:rPr>
              <w:t>评价区位于四川嘉陵江源湿地市级自然保护区实验区内，主要包括森林生态系统、灌丛生态系统、湿地生态系统、农田生态系统、聚落生态系统5种类型。</w:t>
            </w:r>
          </w:p>
          <w:p>
            <w:pPr>
              <w:spacing w:line="360" w:lineRule="auto"/>
              <w:ind w:firstLine="480" w:firstLineChars="200"/>
              <w:rPr>
                <w:color w:val="auto"/>
                <w:sz w:val="24"/>
              </w:rPr>
            </w:pPr>
            <w:r>
              <w:rPr>
                <w:color w:val="auto"/>
                <w:sz w:val="24"/>
              </w:rPr>
              <w:t>评价区土地总面积为844.2195hm</w:t>
            </w:r>
            <w:r>
              <w:rPr>
                <w:color w:val="auto"/>
                <w:sz w:val="24"/>
                <w:vertAlign w:val="superscript"/>
              </w:rPr>
              <w:t>2</w:t>
            </w:r>
            <w:r>
              <w:rPr>
                <w:color w:val="auto"/>
                <w:sz w:val="24"/>
              </w:rPr>
              <w:t>，其中林地394.416hm</w:t>
            </w:r>
            <w:r>
              <w:rPr>
                <w:color w:val="auto"/>
                <w:sz w:val="24"/>
                <w:vertAlign w:val="superscript"/>
              </w:rPr>
              <w:t>2</w:t>
            </w:r>
            <w:r>
              <w:rPr>
                <w:color w:val="auto"/>
                <w:sz w:val="24"/>
              </w:rPr>
              <w:t>，灌丛地31.0323hm</w:t>
            </w:r>
            <w:r>
              <w:rPr>
                <w:color w:val="auto"/>
                <w:sz w:val="24"/>
                <w:vertAlign w:val="superscript"/>
              </w:rPr>
              <w:t>2</w:t>
            </w:r>
            <w:r>
              <w:rPr>
                <w:color w:val="auto"/>
                <w:sz w:val="24"/>
              </w:rPr>
              <w:t>，建设用地39.8661hm</w:t>
            </w:r>
            <w:r>
              <w:rPr>
                <w:color w:val="auto"/>
                <w:sz w:val="24"/>
                <w:vertAlign w:val="superscript"/>
              </w:rPr>
              <w:t>2</w:t>
            </w:r>
            <w:r>
              <w:rPr>
                <w:color w:val="auto"/>
                <w:sz w:val="24"/>
              </w:rPr>
              <w:t>（含交通用地、宅基地和村庄），水域43.3351 hm</w:t>
            </w:r>
            <w:r>
              <w:rPr>
                <w:color w:val="auto"/>
                <w:sz w:val="24"/>
                <w:vertAlign w:val="superscript"/>
              </w:rPr>
              <w:t>2</w:t>
            </w:r>
            <w:r>
              <w:rPr>
                <w:color w:val="auto"/>
                <w:sz w:val="24"/>
              </w:rPr>
              <w:t>，耕地335.57hm</w:t>
            </w:r>
            <w:r>
              <w:rPr>
                <w:color w:val="auto"/>
                <w:sz w:val="24"/>
                <w:vertAlign w:val="superscript"/>
              </w:rPr>
              <w:t>2</w:t>
            </w:r>
            <w:r>
              <w:rPr>
                <w:color w:val="auto"/>
                <w:sz w:val="24"/>
              </w:rPr>
              <w:t>。</w:t>
            </w:r>
          </w:p>
          <w:p>
            <w:pPr>
              <w:spacing w:line="360" w:lineRule="auto"/>
              <w:ind w:firstLine="482" w:firstLineChars="200"/>
              <w:rPr>
                <w:b/>
                <w:bCs/>
                <w:color w:val="auto"/>
                <w:sz w:val="24"/>
              </w:rPr>
            </w:pPr>
            <w:r>
              <w:rPr>
                <w:b/>
                <w:bCs/>
                <w:color w:val="auto"/>
                <w:sz w:val="24"/>
              </w:rPr>
              <w:t>（1）森林生态系统</w:t>
            </w:r>
          </w:p>
          <w:p>
            <w:pPr>
              <w:spacing w:line="360" w:lineRule="auto"/>
              <w:ind w:firstLine="480" w:firstLineChars="200"/>
              <w:rPr>
                <w:color w:val="auto"/>
                <w:sz w:val="24"/>
              </w:rPr>
            </w:pPr>
            <w:r>
              <w:rPr>
                <w:color w:val="auto"/>
                <w:sz w:val="24"/>
              </w:rPr>
              <w:t>生态系统的植物群落类型组成看，该区森林植被类型包括柏木林、马尾松林、栓皮栎林，其主要建群树种有柏木、马尾松、栓皮栎、麻栎、青冈等。乔木木林郁闭度高，林下灌木层盖度在20%—50%，主要灌木包括小果蔷薇、铁仔、阔叶十大功劳、黄荆、火棘、马桑、荚蒾等。林下草本层盖度在20%—40%，主要草本层植物包括苔草、竹叶草、线蕨、千里光、白茅、荩草等。评价区森林生态系统结构较为完善，在我调节能力较强，生物多样性指数较高，该型生态系统内分布有多种兽类、鸟类、爬行类及两栖类。评价区内的森林生态系统的物质和能量交流频繁，内部食物链丰富而且彼此交叉成结构复杂的食物网，表现出评价区内最高的稳定性。同时，森林对于生态系统的生产和水、氮、钙、磷等物质循环有十分重要的意义，因此森林是评价区重要的生态系统类型。</w:t>
            </w:r>
          </w:p>
          <w:p>
            <w:pPr>
              <w:spacing w:line="360" w:lineRule="auto"/>
              <w:ind w:firstLine="480" w:firstLineChars="200"/>
              <w:rPr>
                <w:color w:val="auto"/>
                <w:sz w:val="24"/>
              </w:rPr>
            </w:pPr>
            <w:r>
              <w:rPr>
                <w:color w:val="auto"/>
                <w:sz w:val="24"/>
              </w:rPr>
              <w:t>同时，森林对于生态系统的生产和水、氮、钙、磷等物质循环有十分重要的意义，因此森林是评价区重要的生态系统类型。</w:t>
            </w:r>
          </w:p>
          <w:p>
            <w:pPr>
              <w:spacing w:line="360" w:lineRule="auto"/>
              <w:ind w:firstLine="482" w:firstLineChars="200"/>
              <w:rPr>
                <w:b/>
                <w:bCs/>
                <w:color w:val="auto"/>
                <w:sz w:val="24"/>
              </w:rPr>
            </w:pPr>
            <w:r>
              <w:rPr>
                <w:b/>
                <w:bCs/>
                <w:color w:val="auto"/>
                <w:sz w:val="24"/>
              </w:rPr>
              <w:t>（2）灌丛生态系统</w:t>
            </w:r>
          </w:p>
          <w:p>
            <w:pPr>
              <w:spacing w:line="360" w:lineRule="auto"/>
              <w:ind w:firstLine="480" w:firstLineChars="200"/>
              <w:rPr>
                <w:color w:val="auto"/>
                <w:sz w:val="24"/>
              </w:rPr>
            </w:pPr>
            <w:r>
              <w:rPr>
                <w:color w:val="auto"/>
                <w:sz w:val="24"/>
              </w:rPr>
              <w:t>生态系统的植物群落类型组成看，该型生态系统主要由零星分布于评价区内的黄荆、马桑灌丛组成，由于灌丛生态系统的结构特征，成为了众多鸟类（如鸡型目）和小型啮齿兽类的良好栖息地。灌丛生态系统较森林生态系统，其植物物种数量相对较少、层次相对较简单、植被覆盖率相对较低，由此表现出的抗干扰能力和稳定性也低于森林生态系统。</w:t>
            </w:r>
          </w:p>
          <w:p>
            <w:pPr>
              <w:spacing w:line="360" w:lineRule="auto"/>
              <w:ind w:firstLine="480" w:firstLineChars="200"/>
              <w:rPr>
                <w:color w:val="auto"/>
                <w:sz w:val="24"/>
              </w:rPr>
            </w:pPr>
            <w:r>
              <w:rPr>
                <w:color w:val="auto"/>
                <w:sz w:val="24"/>
              </w:rPr>
              <w:t>森林生态系统与灌丛生态系统间关系密切，两者在评价区内彼此间物质循环和能量流动关系密切；森林生态系统一旦被毁坏，将逐步退化为灌丛生态系统，并在相当长的时间内继续存在；人类干扰和地质灾害消失后，灌丛生态系统将在自然状态下经过漫长的岁月逐步演替为森林生态系统。森林和灌丛生态系统对维持评价区生态环境的稳定有着重要的作用。</w:t>
            </w:r>
          </w:p>
          <w:p>
            <w:pPr>
              <w:spacing w:line="360" w:lineRule="auto"/>
              <w:ind w:firstLine="482" w:firstLineChars="200"/>
              <w:rPr>
                <w:b/>
                <w:bCs/>
                <w:color w:val="auto"/>
                <w:sz w:val="24"/>
              </w:rPr>
            </w:pPr>
            <w:r>
              <w:rPr>
                <w:b/>
                <w:bCs/>
                <w:color w:val="auto"/>
                <w:sz w:val="24"/>
              </w:rPr>
              <w:t>（3）湿地生态系统</w:t>
            </w:r>
          </w:p>
          <w:p>
            <w:pPr>
              <w:spacing w:line="360" w:lineRule="auto"/>
              <w:ind w:firstLine="480" w:firstLineChars="200"/>
              <w:rPr>
                <w:color w:val="auto"/>
                <w:sz w:val="24"/>
              </w:rPr>
            </w:pPr>
            <w:r>
              <w:rPr>
                <w:color w:val="auto"/>
                <w:sz w:val="24"/>
              </w:rPr>
              <w:t>评价区河流生态系统主要以羊木河为主的湿地生态系统。湿地生态系统呈线型分布，河流水体是湿地生态系统的重要因素，河流水体的流动不仅加强了河流内部的物质交流和循环，还对河岸带的湿地群落的维持有重要作用。河流生态系统还有调控评价区水分分布的重要功能，对评价区其他植被类型的分布具有控制作用。湿地生态系统内鱼类和鸟类动物种类较多，一些涉禽鸟类和经常活动于河岸带的鸟类在生态系统内极为常见，同时，一些大中型兽类也常下到干扰较小的河边饮水、休憩。</w:t>
            </w:r>
          </w:p>
          <w:p>
            <w:pPr>
              <w:spacing w:line="360" w:lineRule="auto"/>
              <w:ind w:firstLine="482" w:firstLineChars="200"/>
              <w:rPr>
                <w:b/>
                <w:bCs/>
                <w:color w:val="auto"/>
                <w:sz w:val="24"/>
              </w:rPr>
            </w:pPr>
            <w:r>
              <w:rPr>
                <w:b/>
                <w:bCs/>
                <w:color w:val="auto"/>
                <w:sz w:val="24"/>
              </w:rPr>
              <w:t>（4）农田生态系统</w:t>
            </w:r>
          </w:p>
          <w:p>
            <w:pPr>
              <w:spacing w:line="360" w:lineRule="auto"/>
              <w:ind w:firstLine="480" w:firstLineChars="200"/>
              <w:rPr>
                <w:color w:val="auto"/>
                <w:sz w:val="24"/>
              </w:rPr>
            </w:pPr>
            <w:r>
              <w:rPr>
                <w:color w:val="auto"/>
                <w:sz w:val="24"/>
              </w:rPr>
              <w:t>农田生态系统的主要植物以人工种植的玉米、小麦、水稻、土豆、油菜等作物为主，分布的野生动物主要有泥鳅、鲫鱼、鲤鱼、草鱼、泽陆蛙、麻雀、小家鼠、社鼠等。</w:t>
            </w:r>
          </w:p>
          <w:p>
            <w:pPr>
              <w:spacing w:line="360" w:lineRule="auto"/>
              <w:ind w:firstLine="482" w:firstLineChars="200"/>
              <w:rPr>
                <w:b/>
                <w:bCs/>
                <w:color w:val="auto"/>
                <w:sz w:val="24"/>
              </w:rPr>
            </w:pPr>
            <w:r>
              <w:rPr>
                <w:b/>
                <w:bCs/>
                <w:color w:val="auto"/>
                <w:sz w:val="24"/>
              </w:rPr>
              <w:t>（5）聚落生态系统</w:t>
            </w:r>
          </w:p>
          <w:p>
            <w:pPr>
              <w:spacing w:line="360" w:lineRule="auto"/>
              <w:ind w:firstLine="480" w:firstLineChars="200"/>
              <w:rPr>
                <w:color w:val="auto"/>
                <w:sz w:val="24"/>
              </w:rPr>
            </w:pPr>
            <w:r>
              <w:rPr>
                <w:color w:val="auto"/>
                <w:sz w:val="24"/>
              </w:rPr>
              <w:t>聚落生态系统主要为房屋、生活设施、道路等人为影响为主的区域。</w:t>
            </w:r>
          </w:p>
          <w:p>
            <w:pPr>
              <w:spacing w:line="360" w:lineRule="auto"/>
              <w:ind w:firstLine="482" w:firstLineChars="200"/>
              <w:rPr>
                <w:b/>
                <w:bCs/>
                <w:color w:val="auto"/>
                <w:sz w:val="24"/>
              </w:rPr>
            </w:pPr>
            <w:r>
              <w:rPr>
                <w:b/>
                <w:bCs/>
                <w:color w:val="auto"/>
                <w:sz w:val="24"/>
              </w:rPr>
              <w:t>7、主要保护对象现状</w:t>
            </w:r>
          </w:p>
          <w:p>
            <w:pPr>
              <w:spacing w:line="360" w:lineRule="auto"/>
              <w:ind w:firstLine="480" w:firstLineChars="200"/>
              <w:rPr>
                <w:color w:val="auto"/>
                <w:sz w:val="24"/>
              </w:rPr>
            </w:pPr>
            <w:r>
              <w:rPr>
                <w:color w:val="auto"/>
                <w:sz w:val="24"/>
              </w:rPr>
              <w:t>（1）水源涵养林现状：评价区内水源涵养林主要有由柏木、马尾松、栓皮栎及其他阔叶林及灌丛组成的。生长状况良好，林群乔木林高度可达10—15m左右。</w:t>
            </w:r>
          </w:p>
          <w:p>
            <w:pPr>
              <w:spacing w:line="360" w:lineRule="auto"/>
              <w:ind w:firstLine="480" w:firstLineChars="200"/>
              <w:rPr>
                <w:color w:val="auto"/>
                <w:sz w:val="24"/>
              </w:rPr>
            </w:pPr>
            <w:r>
              <w:rPr>
                <w:color w:val="auto"/>
                <w:sz w:val="24"/>
              </w:rPr>
              <w:t>（2）湿地生态系统：该类生态系统所处河段为羊木河，整个区段河流水质为Ⅲ类。在湿地生态系统内鱼类和鸟类种类较多，一些涉禽鸟类和经常活动于河岸带的鸟类在生态系统内极为常见。</w:t>
            </w:r>
          </w:p>
          <w:p>
            <w:pPr>
              <w:spacing w:line="360" w:lineRule="auto"/>
              <w:ind w:firstLine="480" w:firstLineChars="200"/>
              <w:rPr>
                <w:color w:val="auto"/>
                <w:sz w:val="24"/>
              </w:rPr>
            </w:pPr>
            <w:r>
              <w:rPr>
                <w:color w:val="auto"/>
                <w:sz w:val="24"/>
              </w:rPr>
              <w:t>（3）野生动植物：评价区内分布的植物主要为常见种，成长情况良好。查阅相关资料，发现评价区内有国家重点保护动物的分布（画眉、红嘴相思鸟、橙翅噪鹛）。</w:t>
            </w:r>
          </w:p>
          <w:p>
            <w:pPr>
              <w:spacing w:line="360" w:lineRule="auto"/>
              <w:ind w:firstLine="482" w:firstLineChars="200"/>
              <w:rPr>
                <w:b/>
                <w:bCs/>
                <w:color w:val="auto"/>
                <w:sz w:val="24"/>
              </w:rPr>
            </w:pPr>
            <w:r>
              <w:rPr>
                <w:b/>
                <w:bCs/>
                <w:color w:val="auto"/>
                <w:sz w:val="24"/>
              </w:rPr>
              <w:t>8、主要威胁现状</w:t>
            </w:r>
          </w:p>
          <w:p>
            <w:pPr>
              <w:spacing w:line="360" w:lineRule="auto"/>
              <w:ind w:firstLine="480" w:firstLineChars="200"/>
              <w:rPr>
                <w:color w:val="auto"/>
                <w:sz w:val="24"/>
              </w:rPr>
            </w:pPr>
            <w:r>
              <w:rPr>
                <w:color w:val="auto"/>
                <w:sz w:val="24"/>
              </w:rPr>
              <w:t>一是该区域及其周围人类活动频繁，对动物生存环境造成了进一步的压力，使得原本并不丰富的物种受到进一步影响，特别是一些大中型兽类和猛禽等受到的影响更大。多年来，沿河垦荒、开山造田，使得这里的生态环境遭到严重破坏；加上先前人们对大型野生动物的猎杀，许多大型野生动物不得不迁往深山无人处栖息，以此人们已经很少见到大中型兽类。</w:t>
            </w:r>
          </w:p>
          <w:p>
            <w:pPr>
              <w:spacing w:line="360" w:lineRule="auto"/>
              <w:ind w:firstLine="480" w:firstLineChars="200"/>
              <w:rPr>
                <w:color w:val="auto"/>
                <w:sz w:val="24"/>
              </w:rPr>
            </w:pPr>
            <w:r>
              <w:rPr>
                <w:color w:val="auto"/>
                <w:sz w:val="24"/>
              </w:rPr>
              <w:t>二是评价区内现有公路运行的车辆带来的尾气、扬尘、噪声等因素，会对评价区内的野生动植物资源带来威胁。</w:t>
            </w:r>
          </w:p>
          <w:p>
            <w:pPr>
              <w:spacing w:line="360" w:lineRule="auto"/>
              <w:ind w:firstLine="482" w:firstLineChars="200"/>
              <w:rPr>
                <w:b/>
                <w:bCs/>
                <w:color w:val="auto"/>
                <w:sz w:val="24"/>
              </w:rPr>
            </w:pPr>
            <w:r>
              <w:rPr>
                <w:b/>
                <w:bCs/>
                <w:color w:val="auto"/>
                <w:sz w:val="24"/>
              </w:rPr>
              <w:t>9、评价区已有建设项目及社区现状</w:t>
            </w:r>
          </w:p>
          <w:p>
            <w:pPr>
              <w:spacing w:line="360" w:lineRule="auto"/>
              <w:ind w:firstLine="480" w:firstLineChars="200"/>
              <w:rPr>
                <w:color w:val="auto"/>
                <w:sz w:val="24"/>
              </w:rPr>
            </w:pPr>
            <w:r>
              <w:rPr>
                <w:color w:val="auto"/>
                <w:sz w:val="24"/>
              </w:rPr>
              <w:t>评价区内现有建设工程主要为：村道、乡道、县道以及当地村居民住房和生活设施。</w:t>
            </w:r>
          </w:p>
          <w:p>
            <w:pPr>
              <w:spacing w:line="360" w:lineRule="auto"/>
              <w:ind w:firstLine="480" w:firstLineChars="200"/>
              <w:rPr>
                <w:color w:val="auto"/>
                <w:sz w:val="24"/>
              </w:rPr>
            </w:pPr>
            <w:r>
              <w:rPr>
                <w:color w:val="auto"/>
                <w:sz w:val="24"/>
              </w:rPr>
              <w:t>评价区内涉及6个行政村居民1000户左右，区内无工业。</w:t>
            </w:r>
          </w:p>
          <w:p>
            <w:pPr>
              <w:spacing w:line="360" w:lineRule="auto"/>
              <w:ind w:firstLine="480" w:firstLineChars="200"/>
              <w:rPr>
                <w:color w:val="auto"/>
                <w:sz w:val="24"/>
              </w:rPr>
            </w:pPr>
            <w:r>
              <w:rPr>
                <w:color w:val="auto"/>
                <w:sz w:val="24"/>
              </w:rPr>
              <w:t>评价区内居民农、牧、林业收入一般占总收入的80%以上。主要的生产方式为：（1）在房前屋后及耕地内种植农作物、水果、干果和药材；（2）放牧，大部分为散放，放牧区域在居民自己的自留山或集体林。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473" w:type="dxa"/>
            <w:vAlign w:val="center"/>
          </w:tcPr>
          <w:p>
            <w:pPr>
              <w:adjustRightInd w:val="0"/>
              <w:snapToGrid w:val="0"/>
              <w:jc w:val="center"/>
              <w:rPr>
                <w:color w:val="auto"/>
                <w:kern w:val="0"/>
                <w:sz w:val="24"/>
              </w:rPr>
            </w:pPr>
            <w:r>
              <w:rPr>
                <w:color w:val="auto"/>
                <w:kern w:val="0"/>
                <w:sz w:val="24"/>
              </w:rPr>
              <w:t>与项目有关的原有环境污染和生态破坏问题</w:t>
            </w:r>
          </w:p>
        </w:tc>
        <w:tc>
          <w:tcPr>
            <w:tcW w:w="8684" w:type="dxa"/>
            <w:vAlign w:val="center"/>
          </w:tcPr>
          <w:p>
            <w:pPr>
              <w:spacing w:line="360" w:lineRule="auto"/>
              <w:rPr>
                <w:b/>
                <w:bCs/>
                <w:color w:val="auto"/>
                <w:sz w:val="24"/>
              </w:rPr>
            </w:pPr>
            <w:r>
              <w:rPr>
                <w:b/>
                <w:bCs/>
                <w:color w:val="auto"/>
                <w:sz w:val="24"/>
              </w:rPr>
              <w:t>1、原有环境污染和生态破坏问题</w:t>
            </w:r>
          </w:p>
          <w:p>
            <w:pPr>
              <w:spacing w:line="360" w:lineRule="auto"/>
              <w:ind w:firstLine="480" w:firstLineChars="200"/>
              <w:rPr>
                <w:color w:val="auto"/>
                <w:sz w:val="24"/>
              </w:rPr>
            </w:pPr>
            <w:r>
              <w:rPr>
                <w:color w:val="auto"/>
                <w:sz w:val="24"/>
              </w:rPr>
              <w:t>根据现场踏勘可知，项目河段现有环境问题如下：</w:t>
            </w:r>
          </w:p>
          <w:p>
            <w:pPr>
              <w:spacing w:line="360" w:lineRule="auto"/>
              <w:ind w:firstLine="480" w:firstLineChars="200"/>
              <w:rPr>
                <w:color w:val="auto"/>
                <w:sz w:val="24"/>
              </w:rPr>
            </w:pPr>
            <w:r>
              <w:rPr>
                <w:color w:val="auto"/>
                <w:sz w:val="24"/>
              </w:rPr>
              <w:t>朝天区朝天镇位于广坪河下游，由于受川东、川西两大雨区的控制，曾多次发生淹没场镇桥梁、中断公路交通、冲毁农田农舍等严重洪灾，广坪河朝天镇段已建正规防洪设施相对较少，靠天然河岸及路堤防洪相对校多，防洪标准较低、防洪基础设施薄弱、冲刷或淘刷问题、淤积问题、河道碍洪建筑较多，常发生洪灾，经常造成河岸崩塌，冲毁土地，危及人民生命财产安全。</w:t>
            </w:r>
          </w:p>
          <w:p>
            <w:pPr>
              <w:spacing w:line="360" w:lineRule="auto"/>
              <w:ind w:firstLine="480" w:firstLineChars="200"/>
              <w:rPr>
                <w:color w:val="auto"/>
                <w:sz w:val="24"/>
              </w:rPr>
            </w:pPr>
            <w:r>
              <w:rPr>
                <w:color w:val="auto"/>
                <w:sz w:val="24"/>
              </w:rPr>
              <w:t>拟建工程跨越广元市朝天区朝天镇双河村、仇坝村、吴坝村、青羊村境内，河道治理范围内有1处护岸工程，3处已建堤防。</w:t>
            </w:r>
          </w:p>
          <w:p>
            <w:pPr>
              <w:spacing w:line="360" w:lineRule="auto"/>
              <w:ind w:firstLine="480" w:firstLineChars="200"/>
              <w:rPr>
                <w:color w:val="auto"/>
                <w:sz w:val="24"/>
              </w:rPr>
            </w:pPr>
            <w:r>
              <w:rPr>
                <w:color w:val="auto"/>
                <w:sz w:val="24"/>
              </w:rPr>
              <w:t>（1）徐家坝护岸工程</w:t>
            </w:r>
          </w:p>
          <w:p>
            <w:pPr>
              <w:spacing w:line="360" w:lineRule="auto"/>
              <w:ind w:firstLine="480" w:firstLineChars="200"/>
              <w:rPr>
                <w:color w:val="auto"/>
                <w:sz w:val="24"/>
              </w:rPr>
            </w:pPr>
            <w:r>
              <w:rPr>
                <w:color w:val="auto"/>
                <w:sz w:val="24"/>
              </w:rPr>
              <w:t>位于河道桩号K0+950.00m～K1+750m，总长800米，护岸顶高程为491.3m～493.5m。</w:t>
            </w:r>
          </w:p>
          <w:p>
            <w:pPr>
              <w:spacing w:line="360" w:lineRule="auto"/>
              <w:ind w:firstLine="480" w:firstLineChars="200"/>
              <w:rPr>
                <w:color w:val="auto"/>
                <w:sz w:val="24"/>
              </w:rPr>
            </w:pPr>
            <w:r>
              <w:rPr>
                <w:color w:val="auto"/>
                <w:sz w:val="24"/>
              </w:rPr>
              <w:t>（2）仇坝堤防</w:t>
            </w:r>
          </w:p>
          <w:p>
            <w:pPr>
              <w:spacing w:line="360" w:lineRule="auto"/>
              <w:ind w:firstLine="480" w:firstLineChars="200"/>
              <w:rPr>
                <w:color w:val="auto"/>
                <w:sz w:val="24"/>
              </w:rPr>
            </w:pPr>
            <w:r>
              <w:rPr>
                <w:color w:val="auto"/>
                <w:sz w:val="24"/>
              </w:rPr>
              <w:t>仇坝段堤防防洪标准为20年一遇，堤防级别为5级，位于广坪河右岸桩号K4+290.00m～K5+210m，总长990m，堤顶高程为502m～504m，主要保护对象为乡村，该堤防的修建完善了仇坝村沿岸的防洪体系，保证了沿岸的人民财产安全。</w:t>
            </w:r>
          </w:p>
          <w:p>
            <w:pPr>
              <w:spacing w:line="360" w:lineRule="auto"/>
              <w:ind w:firstLine="480" w:firstLineChars="200"/>
              <w:rPr>
                <w:color w:val="auto"/>
                <w:sz w:val="24"/>
              </w:rPr>
            </w:pPr>
            <w:r>
              <w:rPr>
                <w:color w:val="auto"/>
                <w:sz w:val="24"/>
              </w:rPr>
              <w:t>（3）吴坝堤防</w:t>
            </w:r>
          </w:p>
          <w:p>
            <w:pPr>
              <w:spacing w:line="360" w:lineRule="auto"/>
              <w:ind w:firstLine="480" w:firstLineChars="200"/>
              <w:rPr>
                <w:color w:val="auto"/>
                <w:sz w:val="24"/>
              </w:rPr>
            </w:pPr>
            <w:r>
              <w:rPr>
                <w:color w:val="auto"/>
                <w:sz w:val="24"/>
              </w:rPr>
              <w:t>吴坝段堤防防洪标准为10年一遇，堤防级别为5级，位于广坪河桩号K5+600.00m～K6+300m，总长556m，堤顶高程为498.67m～499.59m，主要保护对象为耕地，该堤防的修建完善了吴坝村沿岸的防洪体系，保证了沿岸的人民财产全。</w:t>
            </w:r>
          </w:p>
          <w:p>
            <w:pPr>
              <w:spacing w:line="360" w:lineRule="auto"/>
              <w:ind w:firstLine="480" w:firstLineChars="200"/>
              <w:rPr>
                <w:color w:val="auto"/>
                <w:sz w:val="24"/>
              </w:rPr>
            </w:pPr>
            <w:r>
              <w:rPr>
                <w:color w:val="auto"/>
                <w:sz w:val="24"/>
              </w:rPr>
              <w:t>（4）青羊段堤防</w:t>
            </w:r>
          </w:p>
          <w:p>
            <w:pPr>
              <w:spacing w:line="360" w:lineRule="auto"/>
              <w:ind w:firstLine="480" w:firstLineChars="200"/>
              <w:rPr>
                <w:color w:val="auto"/>
                <w:sz w:val="24"/>
              </w:rPr>
            </w:pPr>
            <w:r>
              <w:rPr>
                <w:color w:val="auto"/>
                <w:sz w:val="24"/>
              </w:rPr>
              <w:t>青羊段堤防防洪标准为5年一遇，堤防级别为5级，位于广坪河桩号K6+300.00m～K7+400m，总长1870m，堤顶高程为499.37m～501.48m，主要保护对象为耕地，该堤防的修建完善了青羊村沿岸的防洪体系，保证了沿岸的人民财产安全。</w:t>
            </w:r>
          </w:p>
          <w:p>
            <w:pPr>
              <w:spacing w:line="360" w:lineRule="auto"/>
              <w:ind w:firstLine="480" w:firstLineChars="200"/>
              <w:rPr>
                <w:color w:val="auto"/>
                <w:sz w:val="24"/>
              </w:rPr>
            </w:pPr>
            <w:r>
              <w:rPr>
                <w:color w:val="auto"/>
                <w:sz w:val="24"/>
              </w:rPr>
              <w:t>工程河段未形成封闭的防洪体系，呈开敞之势，一旦发生洪水，洪水将有可能从上游地势低洼处进入集镇，严重威胁人民生命财产安全。河道淤积严重，造成枯水期，部分河道水流不畅，河道内水流呈散布状，影响河道生态环境，一定程度上破坏河道生态连续性。</w:t>
            </w:r>
          </w:p>
          <w:p>
            <w:pPr>
              <w:spacing w:line="360" w:lineRule="auto"/>
              <w:ind w:firstLine="480" w:firstLineChars="200"/>
              <w:rPr>
                <w:color w:val="auto"/>
                <w:sz w:val="24"/>
              </w:rPr>
            </w:pPr>
            <w:r>
              <w:rPr>
                <w:color w:val="auto"/>
                <w:sz w:val="24"/>
              </w:rPr>
              <w:t>四川省朝天区广坪河羊木段防洪治理工程的实施，将形成完整的防洪保护圈，将进一步完善朝天镇的防洪体系，充分发挥防洪效益，改善乡镇发展环境和生态环境，为当地经济发展注入新的活力。</w:t>
            </w:r>
          </w:p>
          <w:tbl>
            <w:tblPr>
              <w:tblStyle w:val="37"/>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018"/>
              <w:gridCol w:w="40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18" w:type="dxa"/>
                  <w:vAlign w:val="center"/>
                </w:tcPr>
                <w:p>
                  <w:pPr>
                    <w:pStyle w:val="12"/>
                    <w:spacing w:line="240" w:lineRule="auto"/>
                    <w:ind w:firstLine="480"/>
                    <w:jc w:val="center"/>
                    <w:rPr>
                      <w:color w:val="auto"/>
                      <w:szCs w:val="24"/>
                    </w:rPr>
                  </w:pPr>
                  <w:r>
                    <w:rPr>
                      <w:color w:val="auto"/>
                    </w:rPr>
                    <w:drawing>
                      <wp:inline distT="0" distB="0" distL="114300" distR="114300">
                        <wp:extent cx="2390140" cy="1726565"/>
                        <wp:effectExtent l="0" t="0" r="10160" b="6985"/>
                        <wp:docPr id="18" name="图片 4" descr="C:/Users/Administrator/AppData/Local/Temp/picturecompress_2021090817470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C:/Users/Administrator/AppData/Local/Temp/picturecompress_20210908174700/output_1.jpgoutput_1"/>
                                <pic:cNvPicPr>
                                  <a:picLocks noChangeAspect="1"/>
                                </pic:cNvPicPr>
                              </pic:nvPicPr>
                              <pic:blipFill>
                                <a:blip r:embed="rId22"/>
                                <a:stretch>
                                  <a:fillRect/>
                                </a:stretch>
                              </pic:blipFill>
                              <pic:spPr>
                                <a:xfrm>
                                  <a:off x="0" y="0"/>
                                  <a:ext cx="2390140" cy="1726565"/>
                                </a:xfrm>
                                <a:prstGeom prst="rect">
                                  <a:avLst/>
                                </a:prstGeom>
                                <a:noFill/>
                                <a:ln>
                                  <a:noFill/>
                                </a:ln>
                              </pic:spPr>
                            </pic:pic>
                          </a:graphicData>
                        </a:graphic>
                      </wp:inline>
                    </w:drawing>
                  </w:r>
                </w:p>
              </w:tc>
              <w:tc>
                <w:tcPr>
                  <w:tcW w:w="4019" w:type="dxa"/>
                  <w:vAlign w:val="center"/>
                </w:tcPr>
                <w:p>
                  <w:pPr>
                    <w:pStyle w:val="12"/>
                    <w:spacing w:line="240" w:lineRule="auto"/>
                    <w:ind w:firstLine="480"/>
                    <w:jc w:val="center"/>
                    <w:rPr>
                      <w:color w:val="auto"/>
                      <w:szCs w:val="24"/>
                    </w:rPr>
                  </w:pPr>
                  <w:r>
                    <w:rPr>
                      <w:color w:val="auto"/>
                    </w:rPr>
                    <w:drawing>
                      <wp:inline distT="0" distB="0" distL="114300" distR="114300">
                        <wp:extent cx="2386330" cy="1720850"/>
                        <wp:effectExtent l="0" t="0" r="13970" b="1270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23"/>
                                <a:stretch>
                                  <a:fillRect/>
                                </a:stretch>
                              </pic:blipFill>
                              <pic:spPr>
                                <a:xfrm>
                                  <a:off x="0" y="0"/>
                                  <a:ext cx="2386330" cy="17208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trPr>
              <w:tc>
                <w:tcPr>
                  <w:tcW w:w="4018" w:type="dxa"/>
                  <w:vAlign w:val="center"/>
                </w:tcPr>
                <w:p>
                  <w:pPr>
                    <w:pStyle w:val="12"/>
                    <w:spacing w:line="240" w:lineRule="auto"/>
                    <w:ind w:firstLine="420"/>
                    <w:jc w:val="center"/>
                    <w:rPr>
                      <w:color w:val="auto"/>
                      <w:sz w:val="21"/>
                      <w:szCs w:val="21"/>
                    </w:rPr>
                  </w:pPr>
                  <w:r>
                    <w:rPr>
                      <w:color w:val="auto"/>
                      <w:sz w:val="21"/>
                      <w:szCs w:val="21"/>
                    </w:rPr>
                    <w:t>徐家坝护岸工程</w:t>
                  </w:r>
                </w:p>
              </w:tc>
              <w:tc>
                <w:tcPr>
                  <w:tcW w:w="4019" w:type="dxa"/>
                  <w:vAlign w:val="center"/>
                </w:tcPr>
                <w:p>
                  <w:pPr>
                    <w:pStyle w:val="12"/>
                    <w:spacing w:line="240" w:lineRule="auto"/>
                    <w:ind w:firstLine="420"/>
                    <w:jc w:val="center"/>
                    <w:rPr>
                      <w:color w:val="auto"/>
                      <w:sz w:val="21"/>
                      <w:szCs w:val="21"/>
                    </w:rPr>
                  </w:pPr>
                  <w:r>
                    <w:rPr>
                      <w:color w:val="auto"/>
                      <w:sz w:val="21"/>
                      <w:szCs w:val="21"/>
                    </w:rPr>
                    <w:t>仇坝堤防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trPr>
              <w:tc>
                <w:tcPr>
                  <w:tcW w:w="4018" w:type="dxa"/>
                  <w:vAlign w:val="center"/>
                </w:tcPr>
                <w:p>
                  <w:pPr>
                    <w:pStyle w:val="12"/>
                    <w:spacing w:line="240" w:lineRule="auto"/>
                    <w:ind w:firstLine="480"/>
                    <w:jc w:val="center"/>
                    <w:rPr>
                      <w:color w:val="auto"/>
                      <w:sz w:val="21"/>
                      <w:szCs w:val="21"/>
                    </w:rPr>
                  </w:pPr>
                  <w:r>
                    <w:rPr>
                      <w:color w:val="auto"/>
                    </w:rPr>
                    <w:drawing>
                      <wp:inline distT="0" distB="0" distL="114300" distR="114300">
                        <wp:extent cx="2375535" cy="1581785"/>
                        <wp:effectExtent l="0" t="0" r="5715" b="18415"/>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24"/>
                                <a:stretch>
                                  <a:fillRect/>
                                </a:stretch>
                              </pic:blipFill>
                              <pic:spPr>
                                <a:xfrm>
                                  <a:off x="0" y="0"/>
                                  <a:ext cx="2375535" cy="1581785"/>
                                </a:xfrm>
                                <a:prstGeom prst="rect">
                                  <a:avLst/>
                                </a:prstGeom>
                                <a:noFill/>
                                <a:ln>
                                  <a:noFill/>
                                </a:ln>
                              </pic:spPr>
                            </pic:pic>
                          </a:graphicData>
                        </a:graphic>
                      </wp:inline>
                    </w:drawing>
                  </w:r>
                </w:p>
              </w:tc>
              <w:tc>
                <w:tcPr>
                  <w:tcW w:w="4019" w:type="dxa"/>
                  <w:vAlign w:val="center"/>
                </w:tcPr>
                <w:p>
                  <w:pPr>
                    <w:pStyle w:val="12"/>
                    <w:spacing w:line="240" w:lineRule="auto"/>
                    <w:ind w:firstLine="480"/>
                    <w:jc w:val="center"/>
                    <w:rPr>
                      <w:color w:val="auto"/>
                      <w:sz w:val="21"/>
                      <w:szCs w:val="21"/>
                    </w:rPr>
                  </w:pPr>
                  <w:r>
                    <w:rPr>
                      <w:bCs/>
                      <w:color w:val="auto"/>
                    </w:rPr>
                    <w:drawing>
                      <wp:inline distT="0" distB="0" distL="114300" distR="114300">
                        <wp:extent cx="2647315" cy="1582420"/>
                        <wp:effectExtent l="0" t="0" r="635" b="17780"/>
                        <wp:docPr id="21" name="图片 7" descr="DJI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descr="DJI_0008"/>
                                <pic:cNvPicPr>
                                  <a:picLocks noChangeAspect="1"/>
                                </pic:cNvPicPr>
                              </pic:nvPicPr>
                              <pic:blipFill>
                                <a:blip r:embed="rId25"/>
                                <a:srcRect t="31316"/>
                                <a:stretch>
                                  <a:fillRect/>
                                </a:stretch>
                              </pic:blipFill>
                              <pic:spPr>
                                <a:xfrm>
                                  <a:off x="0" y="0"/>
                                  <a:ext cx="2647315" cy="158242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trPr>
              <w:tc>
                <w:tcPr>
                  <w:tcW w:w="4018" w:type="dxa"/>
                  <w:vAlign w:val="center"/>
                </w:tcPr>
                <w:p>
                  <w:pPr>
                    <w:pStyle w:val="12"/>
                    <w:spacing w:line="240" w:lineRule="auto"/>
                    <w:ind w:firstLine="420"/>
                    <w:jc w:val="center"/>
                    <w:rPr>
                      <w:color w:val="auto"/>
                      <w:sz w:val="21"/>
                      <w:szCs w:val="21"/>
                    </w:rPr>
                  </w:pPr>
                  <w:r>
                    <w:rPr>
                      <w:color w:val="auto"/>
                      <w:sz w:val="21"/>
                      <w:szCs w:val="21"/>
                    </w:rPr>
                    <w:t>吴坝堤防</w:t>
                  </w:r>
                </w:p>
              </w:tc>
              <w:tc>
                <w:tcPr>
                  <w:tcW w:w="4019" w:type="dxa"/>
                  <w:vAlign w:val="center"/>
                </w:tcPr>
                <w:p>
                  <w:pPr>
                    <w:pStyle w:val="12"/>
                    <w:spacing w:line="240" w:lineRule="auto"/>
                    <w:ind w:firstLine="420"/>
                    <w:jc w:val="center"/>
                    <w:rPr>
                      <w:color w:val="auto"/>
                      <w:sz w:val="21"/>
                      <w:szCs w:val="21"/>
                    </w:rPr>
                  </w:pPr>
                  <w:r>
                    <w:rPr>
                      <w:color w:val="auto"/>
                      <w:sz w:val="21"/>
                      <w:szCs w:val="21"/>
                    </w:rPr>
                    <w:t>青羊堤防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trPr>
              <w:tc>
                <w:tcPr>
                  <w:tcW w:w="4018" w:type="dxa"/>
                  <w:vAlign w:val="center"/>
                </w:tcPr>
                <w:p>
                  <w:pPr>
                    <w:pStyle w:val="12"/>
                    <w:spacing w:line="240" w:lineRule="auto"/>
                    <w:ind w:firstLine="480"/>
                    <w:jc w:val="center"/>
                    <w:rPr>
                      <w:color w:val="auto"/>
                      <w:sz w:val="21"/>
                      <w:szCs w:val="21"/>
                    </w:rPr>
                  </w:pPr>
                  <w:r>
                    <w:rPr>
                      <w:color w:val="auto"/>
                    </w:rPr>
                    <w:drawing>
                      <wp:inline distT="0" distB="0" distL="114300" distR="114300">
                        <wp:extent cx="2408555" cy="1778000"/>
                        <wp:effectExtent l="0" t="0" r="10795" b="1270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6"/>
                                <a:stretch>
                                  <a:fillRect/>
                                </a:stretch>
                              </pic:blipFill>
                              <pic:spPr>
                                <a:xfrm>
                                  <a:off x="0" y="0"/>
                                  <a:ext cx="2408555" cy="1778000"/>
                                </a:xfrm>
                                <a:prstGeom prst="rect">
                                  <a:avLst/>
                                </a:prstGeom>
                                <a:noFill/>
                                <a:ln>
                                  <a:noFill/>
                                </a:ln>
                              </pic:spPr>
                            </pic:pic>
                          </a:graphicData>
                        </a:graphic>
                      </wp:inline>
                    </w:drawing>
                  </w:r>
                </w:p>
              </w:tc>
              <w:tc>
                <w:tcPr>
                  <w:tcW w:w="4019" w:type="dxa"/>
                  <w:vAlign w:val="center"/>
                </w:tcPr>
                <w:p>
                  <w:pPr>
                    <w:pStyle w:val="12"/>
                    <w:spacing w:line="240" w:lineRule="auto"/>
                    <w:ind w:firstLine="480"/>
                    <w:jc w:val="center"/>
                    <w:rPr>
                      <w:color w:val="auto"/>
                      <w:sz w:val="21"/>
                      <w:szCs w:val="21"/>
                    </w:rPr>
                  </w:pPr>
                  <w:r>
                    <w:rPr>
                      <w:color w:val="auto"/>
                    </w:rPr>
                    <w:drawing>
                      <wp:inline distT="0" distB="0" distL="114300" distR="114300">
                        <wp:extent cx="2410460" cy="1698625"/>
                        <wp:effectExtent l="0" t="0" r="8890" b="1587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7"/>
                                <a:stretch>
                                  <a:fillRect/>
                                </a:stretch>
                              </pic:blipFill>
                              <pic:spPr>
                                <a:xfrm>
                                  <a:off x="0" y="0"/>
                                  <a:ext cx="2410460" cy="16986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trPr>
              <w:tc>
                <w:tcPr>
                  <w:tcW w:w="4018" w:type="dxa"/>
                  <w:vAlign w:val="center"/>
                </w:tcPr>
                <w:p>
                  <w:pPr>
                    <w:pStyle w:val="12"/>
                    <w:spacing w:line="240" w:lineRule="auto"/>
                    <w:ind w:firstLine="420"/>
                    <w:jc w:val="center"/>
                    <w:rPr>
                      <w:color w:val="auto"/>
                      <w:sz w:val="21"/>
                      <w:szCs w:val="21"/>
                    </w:rPr>
                  </w:pPr>
                  <w:r>
                    <w:rPr>
                      <w:rFonts w:hint="eastAsia"/>
                      <w:color w:val="auto"/>
                      <w:sz w:val="21"/>
                      <w:szCs w:val="21"/>
                      <w:lang w:val="en-US" w:eastAsia="zh-CN"/>
                    </w:rPr>
                    <w:t>本</w:t>
                  </w:r>
                  <w:r>
                    <w:rPr>
                      <w:color w:val="auto"/>
                      <w:sz w:val="21"/>
                      <w:szCs w:val="21"/>
                    </w:rPr>
                    <w:t>工程现状</w:t>
                  </w:r>
                </w:p>
              </w:tc>
              <w:tc>
                <w:tcPr>
                  <w:tcW w:w="4019" w:type="dxa"/>
                  <w:vAlign w:val="center"/>
                </w:tcPr>
                <w:p>
                  <w:pPr>
                    <w:pStyle w:val="12"/>
                    <w:spacing w:line="240" w:lineRule="auto"/>
                    <w:ind w:firstLine="420"/>
                    <w:jc w:val="center"/>
                    <w:rPr>
                      <w:color w:val="auto"/>
                      <w:sz w:val="21"/>
                      <w:szCs w:val="21"/>
                    </w:rPr>
                  </w:pPr>
                  <w:r>
                    <w:rPr>
                      <w:rFonts w:hint="eastAsia"/>
                      <w:color w:val="auto"/>
                      <w:sz w:val="21"/>
                      <w:szCs w:val="21"/>
                      <w:lang w:val="en-US" w:eastAsia="zh-CN"/>
                    </w:rPr>
                    <w:t>本</w:t>
                  </w:r>
                  <w:r>
                    <w:rPr>
                      <w:color w:val="auto"/>
                      <w:sz w:val="21"/>
                      <w:szCs w:val="21"/>
                    </w:rPr>
                    <w:t>工程</w:t>
                  </w:r>
                  <w:r>
                    <w:rPr>
                      <w:rFonts w:hint="eastAsia"/>
                      <w:color w:val="auto"/>
                      <w:sz w:val="21"/>
                      <w:szCs w:val="21"/>
                      <w:lang w:val="en-US" w:eastAsia="zh-CN"/>
                    </w:rPr>
                    <w:t>施工时照片</w:t>
                  </w:r>
                </w:p>
              </w:tc>
            </w:tr>
          </w:tbl>
          <w:p>
            <w:pPr>
              <w:spacing w:line="360" w:lineRule="auto"/>
              <w:rPr>
                <w:b/>
                <w:bCs/>
                <w:color w:val="auto"/>
                <w:sz w:val="24"/>
              </w:rPr>
            </w:pPr>
            <w:r>
              <w:rPr>
                <w:b/>
                <w:bCs/>
                <w:color w:val="auto"/>
                <w:sz w:val="24"/>
              </w:rPr>
              <w:t>2、整改措施</w:t>
            </w:r>
          </w:p>
          <w:p>
            <w:pPr>
              <w:spacing w:line="360" w:lineRule="auto"/>
              <w:ind w:firstLine="480" w:firstLineChars="200"/>
              <w:rPr>
                <w:color w:val="auto"/>
                <w:sz w:val="24"/>
              </w:rPr>
            </w:pPr>
            <w:r>
              <w:rPr>
                <w:color w:val="auto"/>
                <w:sz w:val="24"/>
              </w:rPr>
              <w:t>本项目主要对河道堤防进行新建，以及排涝箱涵、涵管建设，同时对广坪河进行河道分段疏挖。</w:t>
            </w:r>
          </w:p>
          <w:p>
            <w:pPr>
              <w:spacing w:line="360" w:lineRule="auto"/>
              <w:ind w:firstLine="480" w:firstLineChars="200"/>
              <w:rPr>
                <w:rStyle w:val="43"/>
                <w:color w:val="auto"/>
                <w:kern w:val="0"/>
                <w:sz w:val="24"/>
              </w:rPr>
            </w:pPr>
            <w:r>
              <w:rPr>
                <w:color w:val="auto"/>
                <w:sz w:val="24"/>
              </w:rPr>
              <w:t>通过新建该段堤防工程，改善朝天镇防洪现状提高防洪能力，改善广坪河河岸环境。该段河堤建成后能形成单完整的防洪封闭圈，达到防御5~20年一遇洪水的能力。</w:t>
            </w:r>
          </w:p>
          <w:p>
            <w:pPr>
              <w:adjustRightInd w:val="0"/>
              <w:snapToGrid w:val="0"/>
              <w:spacing w:line="360" w:lineRule="auto"/>
              <w:ind w:firstLine="480" w:firstLineChars="200"/>
              <w:rPr>
                <w:color w:val="auto"/>
              </w:rPr>
            </w:pPr>
            <w:r>
              <w:rPr>
                <w:color w:val="auto"/>
                <w:sz w:val="24"/>
              </w:rPr>
              <w:t>通过河道疏浚可恢复河道行洪断面，提高河道泄洪能力，归顺水流，使得河势趋于稳定，一定程度改善项目区河流生态环境。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1" w:hRule="atLeast"/>
          <w:jc w:val="center"/>
        </w:trPr>
        <w:tc>
          <w:tcPr>
            <w:tcW w:w="473" w:type="dxa"/>
            <w:vAlign w:val="center"/>
          </w:tcPr>
          <w:p>
            <w:pPr>
              <w:adjustRightInd w:val="0"/>
              <w:snapToGrid w:val="0"/>
              <w:jc w:val="center"/>
              <w:rPr>
                <w:color w:val="auto"/>
                <w:kern w:val="0"/>
                <w:szCs w:val="21"/>
              </w:rPr>
            </w:pPr>
            <w:r>
              <w:rPr>
                <w:color w:val="auto"/>
                <w:kern w:val="0"/>
                <w:sz w:val="24"/>
              </w:rPr>
              <w:t>生态环境保护目标</w:t>
            </w:r>
          </w:p>
        </w:tc>
        <w:tc>
          <w:tcPr>
            <w:tcW w:w="8684" w:type="dxa"/>
            <w:vAlign w:val="center"/>
          </w:tcPr>
          <w:p>
            <w:pPr>
              <w:spacing w:line="360" w:lineRule="auto"/>
              <w:rPr>
                <w:b/>
                <w:bCs/>
                <w:color w:val="auto"/>
                <w:sz w:val="24"/>
              </w:rPr>
            </w:pPr>
            <w:r>
              <w:rPr>
                <w:b/>
                <w:bCs/>
                <w:color w:val="auto"/>
                <w:sz w:val="24"/>
              </w:rPr>
              <w:t>1、大气环境</w:t>
            </w:r>
          </w:p>
          <w:p>
            <w:pPr>
              <w:spacing w:line="360" w:lineRule="auto"/>
              <w:ind w:firstLine="480" w:firstLineChars="200"/>
              <w:rPr>
                <w:color w:val="auto"/>
                <w:sz w:val="24"/>
              </w:rPr>
            </w:pPr>
            <w:r>
              <w:rPr>
                <w:color w:val="auto"/>
                <w:sz w:val="24"/>
              </w:rPr>
              <w:t>本项目环境空气保护目标为厂界外500m范围内的敏感点，具体如下表所示。</w:t>
            </w:r>
          </w:p>
          <w:p>
            <w:pPr>
              <w:widowControl/>
              <w:numPr>
                <w:ilvl w:val="0"/>
                <w:numId w:val="8"/>
              </w:numPr>
              <w:adjustRightInd w:val="0"/>
              <w:snapToGrid w:val="0"/>
              <w:jc w:val="center"/>
              <w:rPr>
                <w:b/>
                <w:color w:val="auto"/>
                <w:szCs w:val="18"/>
              </w:rPr>
            </w:pPr>
            <w:r>
              <w:rPr>
                <w:b/>
                <w:color w:val="auto"/>
                <w:szCs w:val="18"/>
              </w:rPr>
              <w:t>本项目大气环境主要保护目标</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1"/>
              <w:gridCol w:w="720"/>
              <w:gridCol w:w="1800"/>
              <w:gridCol w:w="1229"/>
              <w:gridCol w:w="615"/>
              <w:gridCol w:w="2626"/>
              <w:gridCol w:w="9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6" w:hRule="atLeast"/>
                <w:jc w:val="center"/>
              </w:trPr>
              <w:tc>
                <w:tcPr>
                  <w:tcW w:w="284" w:type="pct"/>
                  <w:vAlign w:val="center"/>
                </w:tcPr>
                <w:p>
                  <w:pPr>
                    <w:pStyle w:val="236"/>
                    <w:rPr>
                      <w:b/>
                      <w:bCs/>
                      <w:color w:val="auto"/>
                    </w:rPr>
                  </w:pPr>
                  <w:r>
                    <w:rPr>
                      <w:b/>
                      <w:bCs/>
                      <w:color w:val="auto"/>
                    </w:rPr>
                    <w:t>环境</w:t>
                  </w:r>
                </w:p>
                <w:p>
                  <w:pPr>
                    <w:pStyle w:val="236"/>
                    <w:rPr>
                      <w:b/>
                      <w:bCs/>
                      <w:color w:val="auto"/>
                      <w:kern w:val="0"/>
                    </w:rPr>
                  </w:pPr>
                  <w:r>
                    <w:rPr>
                      <w:b/>
                      <w:bCs/>
                      <w:color w:val="auto"/>
                    </w:rPr>
                    <w:t>要素</w:t>
                  </w:r>
                </w:p>
              </w:tc>
              <w:tc>
                <w:tcPr>
                  <w:tcW w:w="425" w:type="pct"/>
                  <w:vAlign w:val="center"/>
                </w:tcPr>
                <w:p>
                  <w:pPr>
                    <w:pStyle w:val="236"/>
                    <w:rPr>
                      <w:b/>
                      <w:bCs/>
                      <w:color w:val="auto"/>
                      <w:kern w:val="0"/>
                    </w:rPr>
                  </w:pPr>
                  <w:r>
                    <w:rPr>
                      <w:b/>
                      <w:bCs/>
                      <w:color w:val="auto"/>
                    </w:rPr>
                    <w:t>名称</w:t>
                  </w:r>
                </w:p>
              </w:tc>
              <w:tc>
                <w:tcPr>
                  <w:tcW w:w="1063" w:type="pct"/>
                  <w:vAlign w:val="center"/>
                </w:tcPr>
                <w:p>
                  <w:pPr>
                    <w:pStyle w:val="236"/>
                    <w:rPr>
                      <w:b/>
                      <w:bCs/>
                      <w:color w:val="auto"/>
                      <w:kern w:val="0"/>
                      <w:lang w:val="en-US"/>
                    </w:rPr>
                  </w:pPr>
                  <w:r>
                    <w:rPr>
                      <w:b/>
                      <w:bCs/>
                      <w:color w:val="auto"/>
                      <w:lang w:val="en-US"/>
                    </w:rPr>
                    <w:t>地理坐标</w:t>
                  </w:r>
                </w:p>
              </w:tc>
              <w:tc>
                <w:tcPr>
                  <w:tcW w:w="726" w:type="pct"/>
                  <w:vAlign w:val="center"/>
                </w:tcPr>
                <w:p>
                  <w:pPr>
                    <w:pStyle w:val="236"/>
                    <w:rPr>
                      <w:b/>
                      <w:bCs/>
                      <w:color w:val="auto"/>
                      <w:kern w:val="0"/>
                    </w:rPr>
                  </w:pPr>
                  <w:r>
                    <w:rPr>
                      <w:b/>
                      <w:bCs/>
                      <w:color w:val="auto"/>
                    </w:rPr>
                    <w:t>保护对象</w:t>
                  </w:r>
                </w:p>
              </w:tc>
              <w:tc>
                <w:tcPr>
                  <w:tcW w:w="363" w:type="pct"/>
                  <w:vAlign w:val="center"/>
                </w:tcPr>
                <w:p>
                  <w:pPr>
                    <w:pStyle w:val="236"/>
                    <w:rPr>
                      <w:b/>
                      <w:bCs/>
                      <w:color w:val="auto"/>
                      <w:kern w:val="0"/>
                    </w:rPr>
                  </w:pPr>
                  <w:r>
                    <w:rPr>
                      <w:b/>
                      <w:bCs/>
                      <w:color w:val="auto"/>
                    </w:rPr>
                    <w:t>环境功能</w:t>
                  </w:r>
                </w:p>
              </w:tc>
              <w:tc>
                <w:tcPr>
                  <w:tcW w:w="1550" w:type="pct"/>
                  <w:vAlign w:val="center"/>
                </w:tcPr>
                <w:p>
                  <w:pPr>
                    <w:pStyle w:val="236"/>
                    <w:rPr>
                      <w:b/>
                      <w:bCs/>
                      <w:color w:val="auto"/>
                      <w:kern w:val="0"/>
                    </w:rPr>
                  </w:pPr>
                  <w:r>
                    <w:rPr>
                      <w:b/>
                      <w:bCs/>
                      <w:color w:val="auto"/>
                    </w:rPr>
                    <w:t>相对项目线路方位</w:t>
                  </w:r>
                </w:p>
              </w:tc>
              <w:tc>
                <w:tcPr>
                  <w:tcW w:w="587" w:type="pct"/>
                  <w:vAlign w:val="center"/>
                </w:tcPr>
                <w:p>
                  <w:pPr>
                    <w:pStyle w:val="236"/>
                    <w:rPr>
                      <w:b/>
                      <w:bCs/>
                      <w:color w:val="auto"/>
                      <w:kern w:val="0"/>
                    </w:rPr>
                  </w:pPr>
                  <w:r>
                    <w:rPr>
                      <w:b/>
                      <w:bCs/>
                      <w:color w:val="auto"/>
                    </w:rPr>
                    <w:t>与项目距离（m）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restart"/>
                  <w:vAlign w:val="center"/>
                </w:tcPr>
                <w:p>
                  <w:pPr>
                    <w:pStyle w:val="236"/>
                    <w:rPr>
                      <w:color w:val="auto"/>
                      <w:kern w:val="0"/>
                    </w:rPr>
                  </w:pPr>
                  <w:r>
                    <w:rPr>
                      <w:color w:val="auto"/>
                    </w:rPr>
                    <w:t>大气环境</w:t>
                  </w:r>
                </w:p>
              </w:tc>
              <w:tc>
                <w:tcPr>
                  <w:tcW w:w="425" w:type="pct"/>
                  <w:vAlign w:val="center"/>
                </w:tcPr>
                <w:p>
                  <w:pPr>
                    <w:pStyle w:val="236"/>
                    <w:rPr>
                      <w:color w:val="auto"/>
                      <w:kern w:val="0"/>
                    </w:rPr>
                  </w:pPr>
                  <w:r>
                    <w:rPr>
                      <w:color w:val="auto"/>
                    </w:rPr>
                    <w:t>1#居民区</w:t>
                  </w:r>
                </w:p>
              </w:tc>
              <w:tc>
                <w:tcPr>
                  <w:tcW w:w="1063" w:type="pct"/>
                  <w:vAlign w:val="center"/>
                </w:tcPr>
                <w:p>
                  <w:pPr>
                    <w:pStyle w:val="236"/>
                    <w:rPr>
                      <w:color w:val="auto"/>
                      <w:kern w:val="0"/>
                      <w:lang w:val="en-US"/>
                    </w:rPr>
                  </w:pPr>
                  <w:r>
                    <w:rPr>
                      <w:color w:val="auto"/>
                      <w:kern w:val="0"/>
                      <w:lang w:val="en-US"/>
                    </w:rPr>
                    <w:t>东经105.847796</w:t>
                  </w:r>
                </w:p>
                <w:p>
                  <w:pPr>
                    <w:pStyle w:val="236"/>
                    <w:rPr>
                      <w:color w:val="auto"/>
                      <w:kern w:val="0"/>
                      <w:lang w:val="en-US"/>
                    </w:rPr>
                  </w:pPr>
                  <w:r>
                    <w:rPr>
                      <w:color w:val="auto"/>
                      <w:kern w:val="0"/>
                      <w:lang w:val="en-US"/>
                    </w:rPr>
                    <w:t>北纬32.617126</w:t>
                  </w:r>
                </w:p>
              </w:tc>
              <w:tc>
                <w:tcPr>
                  <w:tcW w:w="726" w:type="pct"/>
                  <w:vAlign w:val="center"/>
                </w:tcPr>
                <w:p>
                  <w:pPr>
                    <w:pStyle w:val="236"/>
                    <w:rPr>
                      <w:color w:val="auto"/>
                      <w:kern w:val="0"/>
                      <w:lang w:val="en-US"/>
                    </w:rPr>
                  </w:pPr>
                  <w:r>
                    <w:rPr>
                      <w:color w:val="auto"/>
                      <w:kern w:val="0"/>
                      <w:lang w:val="en-US"/>
                    </w:rPr>
                    <w:t>居民/50户</w:t>
                  </w:r>
                </w:p>
              </w:tc>
              <w:tc>
                <w:tcPr>
                  <w:tcW w:w="363" w:type="pct"/>
                  <w:vMerge w:val="restart"/>
                  <w:vAlign w:val="center"/>
                </w:tcPr>
                <w:p>
                  <w:pPr>
                    <w:pStyle w:val="236"/>
                    <w:rPr>
                      <w:color w:val="auto"/>
                      <w:kern w:val="0"/>
                    </w:rPr>
                  </w:pPr>
                  <w:r>
                    <w:rPr>
                      <w:color w:val="auto"/>
                    </w:rPr>
                    <w:t>大气环境二类区</w:t>
                  </w:r>
                </w:p>
              </w:tc>
              <w:tc>
                <w:tcPr>
                  <w:tcW w:w="1550" w:type="pct"/>
                  <w:vAlign w:val="center"/>
                </w:tcPr>
                <w:p>
                  <w:pPr>
                    <w:pStyle w:val="236"/>
                    <w:rPr>
                      <w:color w:val="auto"/>
                      <w:kern w:val="0"/>
                      <w:lang w:val="en-US"/>
                    </w:rPr>
                  </w:pPr>
                  <w:r>
                    <w:rPr>
                      <w:color w:val="auto"/>
                      <w:lang w:val="en-US"/>
                    </w:rPr>
                    <w:t>1段堤防，广左0+000~广左0+992，左岸</w:t>
                  </w:r>
                </w:p>
              </w:tc>
              <w:tc>
                <w:tcPr>
                  <w:tcW w:w="587" w:type="pct"/>
                  <w:vAlign w:val="center"/>
                </w:tcPr>
                <w:p>
                  <w:pPr>
                    <w:pStyle w:val="236"/>
                    <w:rPr>
                      <w:color w:val="auto"/>
                      <w:kern w:val="0"/>
                      <w:lang w:val="en-US"/>
                    </w:rPr>
                  </w:pPr>
                  <w:r>
                    <w:rPr>
                      <w:color w:val="auto"/>
                      <w:lang w:val="en-US"/>
                    </w:rPr>
                    <w:t>66~308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2#居民区</w:t>
                  </w:r>
                </w:p>
              </w:tc>
              <w:tc>
                <w:tcPr>
                  <w:tcW w:w="1063" w:type="pct"/>
                  <w:vAlign w:val="center"/>
                </w:tcPr>
                <w:p>
                  <w:pPr>
                    <w:pStyle w:val="236"/>
                    <w:rPr>
                      <w:color w:val="auto"/>
                      <w:kern w:val="0"/>
                      <w:lang w:val="en-US"/>
                    </w:rPr>
                  </w:pPr>
                  <w:r>
                    <w:rPr>
                      <w:color w:val="auto"/>
                      <w:kern w:val="0"/>
                      <w:lang w:val="en-US"/>
                    </w:rPr>
                    <w:t>东经105.847260</w:t>
                  </w:r>
                </w:p>
                <w:p>
                  <w:pPr>
                    <w:pStyle w:val="236"/>
                    <w:rPr>
                      <w:color w:val="auto"/>
                      <w:kern w:val="0"/>
                      <w:lang w:val="en-US"/>
                    </w:rPr>
                  </w:pPr>
                  <w:r>
                    <w:rPr>
                      <w:color w:val="auto"/>
                      <w:kern w:val="0"/>
                      <w:lang w:val="en-US"/>
                    </w:rPr>
                    <w:t>北纬32.614170</w:t>
                  </w:r>
                </w:p>
              </w:tc>
              <w:tc>
                <w:tcPr>
                  <w:tcW w:w="726" w:type="pct"/>
                  <w:vAlign w:val="center"/>
                </w:tcPr>
                <w:p>
                  <w:pPr>
                    <w:pStyle w:val="236"/>
                    <w:rPr>
                      <w:color w:val="auto"/>
                      <w:kern w:val="0"/>
                      <w:lang w:val="en-US"/>
                    </w:rPr>
                  </w:pPr>
                  <w:r>
                    <w:rPr>
                      <w:color w:val="auto"/>
                      <w:kern w:val="0"/>
                      <w:lang w:val="en-US"/>
                    </w:rPr>
                    <w:t>居民/100户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1段堤防，广左0+000~广左0+550，右岸</w:t>
                  </w:r>
                </w:p>
              </w:tc>
              <w:tc>
                <w:tcPr>
                  <w:tcW w:w="587" w:type="pct"/>
                  <w:vAlign w:val="center"/>
                </w:tcPr>
                <w:p>
                  <w:pPr>
                    <w:pStyle w:val="236"/>
                    <w:rPr>
                      <w:color w:val="auto"/>
                      <w:kern w:val="0"/>
                    </w:rPr>
                  </w:pPr>
                  <w:r>
                    <w:rPr>
                      <w:color w:val="auto"/>
                      <w:lang w:val="en-US"/>
                    </w:rPr>
                    <w:t>102~426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3#居民区</w:t>
                  </w:r>
                </w:p>
              </w:tc>
              <w:tc>
                <w:tcPr>
                  <w:tcW w:w="1063" w:type="pct"/>
                  <w:vAlign w:val="center"/>
                </w:tcPr>
                <w:p>
                  <w:pPr>
                    <w:pStyle w:val="236"/>
                    <w:rPr>
                      <w:color w:val="auto"/>
                      <w:kern w:val="0"/>
                      <w:lang w:val="en-US"/>
                    </w:rPr>
                  </w:pPr>
                  <w:r>
                    <w:rPr>
                      <w:color w:val="auto"/>
                      <w:kern w:val="0"/>
                      <w:lang w:val="en-US"/>
                    </w:rPr>
                    <w:t>东经105.839888</w:t>
                  </w:r>
                </w:p>
                <w:p>
                  <w:pPr>
                    <w:pStyle w:val="236"/>
                    <w:rPr>
                      <w:color w:val="auto"/>
                      <w:kern w:val="0"/>
                      <w:lang w:val="en-US"/>
                    </w:rPr>
                  </w:pPr>
                  <w:r>
                    <w:rPr>
                      <w:color w:val="auto"/>
                      <w:kern w:val="0"/>
                      <w:lang w:val="en-US"/>
                    </w:rPr>
                    <w:t>北纬32.614739</w:t>
                  </w:r>
                </w:p>
              </w:tc>
              <w:tc>
                <w:tcPr>
                  <w:tcW w:w="726" w:type="pct"/>
                  <w:vAlign w:val="center"/>
                </w:tcPr>
                <w:p>
                  <w:pPr>
                    <w:pStyle w:val="236"/>
                    <w:rPr>
                      <w:color w:val="auto"/>
                      <w:kern w:val="0"/>
                      <w:lang w:val="en-US"/>
                    </w:rPr>
                  </w:pPr>
                  <w:r>
                    <w:rPr>
                      <w:color w:val="auto"/>
                      <w:kern w:val="0"/>
                      <w:lang w:val="en-US"/>
                    </w:rPr>
                    <w:t>居民/15户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2段堤防，广右0+000~广右0+500，右岸</w:t>
                  </w:r>
                </w:p>
              </w:tc>
              <w:tc>
                <w:tcPr>
                  <w:tcW w:w="587" w:type="pct"/>
                  <w:vAlign w:val="center"/>
                </w:tcPr>
                <w:p>
                  <w:pPr>
                    <w:pStyle w:val="236"/>
                    <w:rPr>
                      <w:color w:val="auto"/>
                      <w:kern w:val="0"/>
                      <w:lang w:val="en-US"/>
                    </w:rPr>
                  </w:pPr>
                  <w:r>
                    <w:rPr>
                      <w:color w:val="auto"/>
                      <w:kern w:val="0"/>
                      <w:lang w:val="en-US"/>
                    </w:rPr>
                    <w:t>47~195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4#居民区</w:t>
                  </w:r>
                </w:p>
              </w:tc>
              <w:tc>
                <w:tcPr>
                  <w:tcW w:w="1063" w:type="pct"/>
                  <w:vAlign w:val="center"/>
                </w:tcPr>
                <w:p>
                  <w:pPr>
                    <w:pStyle w:val="236"/>
                    <w:rPr>
                      <w:color w:val="auto"/>
                      <w:kern w:val="0"/>
                      <w:lang w:val="en-US"/>
                    </w:rPr>
                  </w:pPr>
                  <w:r>
                    <w:rPr>
                      <w:color w:val="auto"/>
                      <w:kern w:val="0"/>
                      <w:lang w:val="en-US"/>
                    </w:rPr>
                    <w:t>东经105.829529</w:t>
                  </w:r>
                </w:p>
                <w:p>
                  <w:pPr>
                    <w:pStyle w:val="236"/>
                    <w:rPr>
                      <w:color w:val="auto"/>
                      <w:kern w:val="0"/>
                      <w:lang w:val="en-US"/>
                    </w:rPr>
                  </w:pPr>
                  <w:r>
                    <w:rPr>
                      <w:color w:val="auto"/>
                      <w:kern w:val="0"/>
                      <w:lang w:val="en-US"/>
                    </w:rPr>
                    <w:t>北纬32.611858</w:t>
                  </w:r>
                </w:p>
              </w:tc>
              <w:tc>
                <w:tcPr>
                  <w:tcW w:w="726" w:type="pct"/>
                  <w:vAlign w:val="center"/>
                </w:tcPr>
                <w:p>
                  <w:pPr>
                    <w:pStyle w:val="236"/>
                    <w:rPr>
                      <w:color w:val="auto"/>
                      <w:kern w:val="0"/>
                      <w:lang w:val="en-US"/>
                    </w:rPr>
                  </w:pPr>
                  <w:r>
                    <w:rPr>
                      <w:color w:val="auto"/>
                      <w:kern w:val="0"/>
                      <w:lang w:val="en-US"/>
                    </w:rPr>
                    <w:t>居民/150户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3段堤防、4段堤防，广右0+000~广左0+556，右岸</w:t>
                  </w:r>
                </w:p>
              </w:tc>
              <w:tc>
                <w:tcPr>
                  <w:tcW w:w="587" w:type="pct"/>
                  <w:vAlign w:val="center"/>
                </w:tcPr>
                <w:p>
                  <w:pPr>
                    <w:pStyle w:val="236"/>
                    <w:rPr>
                      <w:color w:val="auto"/>
                      <w:kern w:val="0"/>
                      <w:lang w:val="en-US"/>
                    </w:rPr>
                  </w:pPr>
                  <w:r>
                    <w:rPr>
                      <w:color w:val="auto"/>
                      <w:kern w:val="0"/>
                      <w:lang w:val="en-US"/>
                    </w:rPr>
                    <w:t>90~350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5#居民区</w:t>
                  </w:r>
                </w:p>
              </w:tc>
              <w:tc>
                <w:tcPr>
                  <w:tcW w:w="1063" w:type="pct"/>
                  <w:vAlign w:val="center"/>
                </w:tcPr>
                <w:p>
                  <w:pPr>
                    <w:pStyle w:val="236"/>
                    <w:rPr>
                      <w:color w:val="auto"/>
                      <w:kern w:val="0"/>
                      <w:lang w:val="en-US"/>
                    </w:rPr>
                  </w:pPr>
                  <w:r>
                    <w:rPr>
                      <w:color w:val="auto"/>
                      <w:kern w:val="0"/>
                      <w:lang w:val="en-US"/>
                    </w:rPr>
                    <w:t>东经105.833563</w:t>
                  </w:r>
                </w:p>
                <w:p>
                  <w:pPr>
                    <w:pStyle w:val="236"/>
                    <w:rPr>
                      <w:color w:val="auto"/>
                      <w:kern w:val="0"/>
                      <w:lang w:val="en-US"/>
                    </w:rPr>
                  </w:pPr>
                  <w:r>
                    <w:rPr>
                      <w:color w:val="auto"/>
                      <w:kern w:val="0"/>
                      <w:lang w:val="en-US"/>
                    </w:rPr>
                    <w:t>北纬32.607288</w:t>
                  </w:r>
                </w:p>
              </w:tc>
              <w:tc>
                <w:tcPr>
                  <w:tcW w:w="726" w:type="pct"/>
                  <w:vAlign w:val="center"/>
                </w:tcPr>
                <w:p>
                  <w:pPr>
                    <w:pStyle w:val="236"/>
                    <w:rPr>
                      <w:color w:val="auto"/>
                      <w:kern w:val="0"/>
                      <w:lang w:val="en-US"/>
                    </w:rPr>
                  </w:pPr>
                  <w:r>
                    <w:rPr>
                      <w:color w:val="auto"/>
                      <w:kern w:val="0"/>
                      <w:lang w:val="en-US"/>
                    </w:rPr>
                    <w:t>居民/15户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清淤IV区，右岸</w:t>
                  </w:r>
                </w:p>
              </w:tc>
              <w:tc>
                <w:tcPr>
                  <w:tcW w:w="587" w:type="pct"/>
                  <w:vAlign w:val="center"/>
                </w:tcPr>
                <w:p>
                  <w:pPr>
                    <w:pStyle w:val="236"/>
                    <w:rPr>
                      <w:color w:val="auto"/>
                      <w:kern w:val="0"/>
                      <w:lang w:val="en-US"/>
                    </w:rPr>
                  </w:pPr>
                  <w:r>
                    <w:rPr>
                      <w:color w:val="auto"/>
                      <w:kern w:val="0"/>
                      <w:lang w:val="en-US"/>
                    </w:rPr>
                    <w:t>90~440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6#居民区</w:t>
                  </w:r>
                </w:p>
              </w:tc>
              <w:tc>
                <w:tcPr>
                  <w:tcW w:w="1063" w:type="pct"/>
                  <w:vAlign w:val="center"/>
                </w:tcPr>
                <w:p>
                  <w:pPr>
                    <w:pStyle w:val="236"/>
                    <w:rPr>
                      <w:color w:val="auto"/>
                      <w:kern w:val="0"/>
                      <w:lang w:val="en-US"/>
                    </w:rPr>
                  </w:pPr>
                  <w:r>
                    <w:rPr>
                      <w:color w:val="auto"/>
                      <w:kern w:val="0"/>
                      <w:lang w:val="en-US"/>
                    </w:rPr>
                    <w:t>东经105.832147</w:t>
                  </w:r>
                </w:p>
                <w:p>
                  <w:pPr>
                    <w:pStyle w:val="236"/>
                    <w:rPr>
                      <w:color w:val="auto"/>
                      <w:kern w:val="0"/>
                      <w:lang w:val="en-US"/>
                    </w:rPr>
                  </w:pPr>
                  <w:r>
                    <w:rPr>
                      <w:color w:val="auto"/>
                      <w:kern w:val="0"/>
                      <w:lang w:val="en-US"/>
                    </w:rPr>
                    <w:t>北纬32.605094</w:t>
                  </w:r>
                </w:p>
              </w:tc>
              <w:tc>
                <w:tcPr>
                  <w:tcW w:w="726" w:type="pct"/>
                  <w:vAlign w:val="center"/>
                </w:tcPr>
                <w:p>
                  <w:pPr>
                    <w:pStyle w:val="236"/>
                    <w:rPr>
                      <w:color w:val="auto"/>
                      <w:kern w:val="0"/>
                      <w:lang w:val="en-US"/>
                    </w:rPr>
                  </w:pPr>
                  <w:r>
                    <w:rPr>
                      <w:color w:val="auto"/>
                      <w:kern w:val="0"/>
                      <w:lang w:val="en-US"/>
                    </w:rPr>
                    <w:t>居民/10户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rPr>
                  </w:pPr>
                  <w:r>
                    <w:rPr>
                      <w:color w:val="auto"/>
                      <w:kern w:val="0"/>
                      <w:lang w:val="en-US"/>
                    </w:rPr>
                    <w:t>清淤IV区，右岸</w:t>
                  </w:r>
                </w:p>
              </w:tc>
              <w:tc>
                <w:tcPr>
                  <w:tcW w:w="587" w:type="pct"/>
                  <w:vAlign w:val="center"/>
                </w:tcPr>
                <w:p>
                  <w:pPr>
                    <w:pStyle w:val="236"/>
                    <w:rPr>
                      <w:color w:val="auto"/>
                      <w:kern w:val="0"/>
                      <w:lang w:val="en-US"/>
                    </w:rPr>
                  </w:pPr>
                  <w:r>
                    <w:rPr>
                      <w:color w:val="auto"/>
                      <w:kern w:val="0"/>
                      <w:lang w:val="en-US"/>
                    </w:rPr>
                    <w:t>180~450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7#居民区</w:t>
                  </w:r>
                </w:p>
              </w:tc>
              <w:tc>
                <w:tcPr>
                  <w:tcW w:w="1063" w:type="pct"/>
                  <w:vAlign w:val="center"/>
                </w:tcPr>
                <w:p>
                  <w:pPr>
                    <w:pStyle w:val="236"/>
                    <w:rPr>
                      <w:color w:val="auto"/>
                      <w:kern w:val="0"/>
                      <w:lang w:val="en-US"/>
                    </w:rPr>
                  </w:pPr>
                  <w:r>
                    <w:rPr>
                      <w:color w:val="auto"/>
                      <w:kern w:val="0"/>
                      <w:lang w:val="en-US"/>
                    </w:rPr>
                    <w:t>东经105.828955</w:t>
                  </w:r>
                </w:p>
                <w:p>
                  <w:pPr>
                    <w:pStyle w:val="236"/>
                    <w:rPr>
                      <w:color w:val="auto"/>
                      <w:kern w:val="0"/>
                      <w:lang w:val="en-US"/>
                    </w:rPr>
                  </w:pPr>
                  <w:r>
                    <w:rPr>
                      <w:color w:val="auto"/>
                      <w:kern w:val="0"/>
                      <w:lang w:val="en-US"/>
                    </w:rPr>
                    <w:t>北纬32.609106</w:t>
                  </w:r>
                </w:p>
              </w:tc>
              <w:tc>
                <w:tcPr>
                  <w:tcW w:w="726" w:type="pct"/>
                  <w:vAlign w:val="center"/>
                </w:tcPr>
                <w:p>
                  <w:pPr>
                    <w:pStyle w:val="236"/>
                    <w:rPr>
                      <w:color w:val="auto"/>
                      <w:kern w:val="0"/>
                      <w:lang w:val="en-US"/>
                    </w:rPr>
                  </w:pPr>
                  <w:r>
                    <w:rPr>
                      <w:color w:val="auto"/>
                      <w:kern w:val="0"/>
                      <w:lang w:val="en-US"/>
                    </w:rPr>
                    <w:t>居民/8户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4段堤防，广左0+500~广左0+556，左岸</w:t>
                  </w:r>
                </w:p>
              </w:tc>
              <w:tc>
                <w:tcPr>
                  <w:tcW w:w="587" w:type="pct"/>
                  <w:vAlign w:val="center"/>
                </w:tcPr>
                <w:p>
                  <w:pPr>
                    <w:pStyle w:val="236"/>
                    <w:rPr>
                      <w:color w:val="auto"/>
                      <w:kern w:val="0"/>
                      <w:lang w:val="en-US"/>
                    </w:rPr>
                  </w:pPr>
                  <w:r>
                    <w:rPr>
                      <w:color w:val="auto"/>
                      <w:kern w:val="0"/>
                      <w:lang w:val="en-US"/>
                    </w:rPr>
                    <w:t>88~220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8#居民区</w:t>
                  </w:r>
                </w:p>
              </w:tc>
              <w:tc>
                <w:tcPr>
                  <w:tcW w:w="1063" w:type="pct"/>
                  <w:vAlign w:val="center"/>
                </w:tcPr>
                <w:p>
                  <w:pPr>
                    <w:pStyle w:val="236"/>
                    <w:rPr>
                      <w:color w:val="auto"/>
                      <w:kern w:val="0"/>
                      <w:lang w:val="en-US"/>
                    </w:rPr>
                  </w:pPr>
                  <w:r>
                    <w:rPr>
                      <w:color w:val="auto"/>
                      <w:kern w:val="0"/>
                      <w:lang w:val="en-US"/>
                    </w:rPr>
                    <w:t>东经105.824052</w:t>
                  </w:r>
                </w:p>
                <w:p>
                  <w:pPr>
                    <w:pStyle w:val="236"/>
                    <w:rPr>
                      <w:color w:val="auto"/>
                      <w:kern w:val="0"/>
                      <w:lang w:val="en-US"/>
                    </w:rPr>
                  </w:pPr>
                  <w:r>
                    <w:rPr>
                      <w:color w:val="auto"/>
                      <w:kern w:val="0"/>
                      <w:lang w:val="en-US"/>
                    </w:rPr>
                    <w:t>北纬32.604418</w:t>
                  </w:r>
                </w:p>
              </w:tc>
              <w:tc>
                <w:tcPr>
                  <w:tcW w:w="726" w:type="pct"/>
                  <w:vAlign w:val="center"/>
                </w:tcPr>
                <w:p>
                  <w:pPr>
                    <w:pStyle w:val="236"/>
                    <w:rPr>
                      <w:color w:val="auto"/>
                      <w:kern w:val="0"/>
                      <w:lang w:val="en-US"/>
                    </w:rPr>
                  </w:pPr>
                  <w:r>
                    <w:rPr>
                      <w:color w:val="auto"/>
                      <w:kern w:val="0"/>
                      <w:lang w:val="en-US"/>
                    </w:rPr>
                    <w:t>居民/20户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清淤V区、5段堤防，广左0+000~广左0+050，右岸</w:t>
                  </w:r>
                </w:p>
              </w:tc>
              <w:tc>
                <w:tcPr>
                  <w:tcW w:w="587" w:type="pct"/>
                  <w:vAlign w:val="center"/>
                </w:tcPr>
                <w:p>
                  <w:pPr>
                    <w:pStyle w:val="236"/>
                    <w:rPr>
                      <w:color w:val="auto"/>
                      <w:kern w:val="0"/>
                      <w:lang w:val="en-US"/>
                    </w:rPr>
                  </w:pPr>
                  <w:r>
                    <w:rPr>
                      <w:color w:val="auto"/>
                      <w:kern w:val="0"/>
                      <w:lang w:val="en-US"/>
                    </w:rPr>
                    <w:t>118~500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9#居民区</w:t>
                  </w:r>
                </w:p>
              </w:tc>
              <w:tc>
                <w:tcPr>
                  <w:tcW w:w="1063" w:type="pct"/>
                  <w:vAlign w:val="center"/>
                </w:tcPr>
                <w:p>
                  <w:pPr>
                    <w:pStyle w:val="236"/>
                    <w:rPr>
                      <w:color w:val="auto"/>
                      <w:kern w:val="0"/>
                    </w:rPr>
                  </w:pPr>
                  <w:r>
                    <w:rPr>
                      <w:color w:val="auto"/>
                      <w:kern w:val="0"/>
                      <w:lang w:val="en-US"/>
                    </w:rPr>
                    <w:t>东经</w:t>
                  </w:r>
                  <w:r>
                    <w:rPr>
                      <w:color w:val="auto"/>
                      <w:kern w:val="0"/>
                    </w:rPr>
                    <w:t>105.821573</w:t>
                  </w:r>
                </w:p>
                <w:p>
                  <w:pPr>
                    <w:pStyle w:val="236"/>
                    <w:rPr>
                      <w:color w:val="auto"/>
                      <w:kern w:val="0"/>
                      <w:lang w:val="en-US"/>
                    </w:rPr>
                  </w:pPr>
                  <w:r>
                    <w:rPr>
                      <w:color w:val="auto"/>
                      <w:kern w:val="0"/>
                    </w:rPr>
                    <w:t>北纬32.60773</w:t>
                  </w:r>
                  <w:r>
                    <w:rPr>
                      <w:color w:val="auto"/>
                      <w:kern w:val="0"/>
                      <w:lang w:val="en-US"/>
                    </w:rPr>
                    <w:t>9</w:t>
                  </w:r>
                </w:p>
              </w:tc>
              <w:tc>
                <w:tcPr>
                  <w:tcW w:w="726" w:type="pct"/>
                  <w:vAlign w:val="center"/>
                </w:tcPr>
                <w:p>
                  <w:pPr>
                    <w:pStyle w:val="236"/>
                    <w:rPr>
                      <w:color w:val="auto"/>
                      <w:kern w:val="0"/>
                      <w:lang w:val="en-US"/>
                    </w:rPr>
                  </w:pPr>
                  <w:r>
                    <w:rPr>
                      <w:color w:val="auto"/>
                      <w:kern w:val="0"/>
                      <w:lang w:val="en-US"/>
                    </w:rPr>
                    <w:t>居民/15户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5段堤防终点，左岸</w:t>
                  </w:r>
                </w:p>
              </w:tc>
              <w:tc>
                <w:tcPr>
                  <w:tcW w:w="587" w:type="pct"/>
                  <w:vAlign w:val="center"/>
                </w:tcPr>
                <w:p>
                  <w:pPr>
                    <w:pStyle w:val="236"/>
                    <w:rPr>
                      <w:color w:val="auto"/>
                      <w:kern w:val="0"/>
                      <w:lang w:val="en-US"/>
                    </w:rPr>
                  </w:pPr>
                  <w:r>
                    <w:rPr>
                      <w:color w:val="auto"/>
                      <w:kern w:val="0"/>
                      <w:lang w:val="en-US"/>
                    </w:rPr>
                    <w:t>115~395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10#居民区</w:t>
                  </w:r>
                </w:p>
              </w:tc>
              <w:tc>
                <w:tcPr>
                  <w:tcW w:w="1063" w:type="pct"/>
                  <w:vAlign w:val="center"/>
                </w:tcPr>
                <w:p>
                  <w:pPr>
                    <w:pStyle w:val="236"/>
                    <w:rPr>
                      <w:color w:val="auto"/>
                      <w:kern w:val="0"/>
                      <w:lang w:val="en-US"/>
                    </w:rPr>
                  </w:pPr>
                  <w:r>
                    <w:rPr>
                      <w:color w:val="auto"/>
                      <w:kern w:val="0"/>
                      <w:lang w:val="en-US"/>
                    </w:rPr>
                    <w:t>东经105.818387</w:t>
                  </w:r>
                </w:p>
                <w:p>
                  <w:pPr>
                    <w:pStyle w:val="236"/>
                    <w:rPr>
                      <w:color w:val="auto"/>
                      <w:kern w:val="0"/>
                      <w:lang w:val="en-US"/>
                    </w:rPr>
                  </w:pPr>
                  <w:r>
                    <w:rPr>
                      <w:color w:val="auto"/>
                      <w:kern w:val="0"/>
                      <w:lang w:val="en-US"/>
                    </w:rPr>
                    <w:t>北纬32.606542</w:t>
                  </w:r>
                </w:p>
              </w:tc>
              <w:tc>
                <w:tcPr>
                  <w:tcW w:w="726" w:type="pct"/>
                  <w:vAlign w:val="center"/>
                </w:tcPr>
                <w:p>
                  <w:pPr>
                    <w:pStyle w:val="236"/>
                    <w:rPr>
                      <w:color w:val="auto"/>
                      <w:kern w:val="0"/>
                      <w:lang w:val="en-US"/>
                    </w:rPr>
                  </w:pPr>
                  <w:r>
                    <w:rPr>
                      <w:color w:val="auto"/>
                      <w:kern w:val="0"/>
                      <w:lang w:val="en-US"/>
                    </w:rPr>
                    <w:t>居民/20户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5段堤防终点，右岸</w:t>
                  </w:r>
                </w:p>
              </w:tc>
              <w:tc>
                <w:tcPr>
                  <w:tcW w:w="587" w:type="pct"/>
                  <w:vAlign w:val="center"/>
                </w:tcPr>
                <w:p>
                  <w:pPr>
                    <w:pStyle w:val="236"/>
                    <w:rPr>
                      <w:color w:val="auto"/>
                      <w:kern w:val="0"/>
                      <w:lang w:val="en-US"/>
                    </w:rPr>
                  </w:pPr>
                  <w:r>
                    <w:rPr>
                      <w:color w:val="auto"/>
                      <w:kern w:val="0"/>
                      <w:lang w:val="en-US"/>
                    </w:rPr>
                    <w:t>235~500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11#居民区</w:t>
                  </w:r>
                </w:p>
              </w:tc>
              <w:tc>
                <w:tcPr>
                  <w:tcW w:w="1063" w:type="pct"/>
                  <w:vAlign w:val="center"/>
                </w:tcPr>
                <w:p>
                  <w:pPr>
                    <w:pStyle w:val="236"/>
                    <w:rPr>
                      <w:color w:val="auto"/>
                      <w:kern w:val="0"/>
                      <w:lang w:val="en-US"/>
                    </w:rPr>
                  </w:pPr>
                  <w:r>
                    <w:rPr>
                      <w:color w:val="auto"/>
                      <w:kern w:val="0"/>
                      <w:lang w:val="en-US"/>
                    </w:rPr>
                    <w:t>东经105.817893</w:t>
                  </w:r>
                </w:p>
                <w:p>
                  <w:pPr>
                    <w:pStyle w:val="236"/>
                    <w:rPr>
                      <w:color w:val="auto"/>
                      <w:kern w:val="0"/>
                      <w:lang w:val="en-US"/>
                    </w:rPr>
                  </w:pPr>
                  <w:r>
                    <w:rPr>
                      <w:color w:val="auto"/>
                      <w:kern w:val="0"/>
                      <w:lang w:val="en-US"/>
                    </w:rPr>
                    <w:t>北纬32.612626</w:t>
                  </w:r>
                </w:p>
              </w:tc>
              <w:tc>
                <w:tcPr>
                  <w:tcW w:w="726" w:type="pct"/>
                  <w:vAlign w:val="center"/>
                </w:tcPr>
                <w:p>
                  <w:pPr>
                    <w:pStyle w:val="236"/>
                    <w:rPr>
                      <w:color w:val="auto"/>
                      <w:kern w:val="0"/>
                      <w:lang w:val="en-US"/>
                    </w:rPr>
                  </w:pPr>
                  <w:r>
                    <w:rPr>
                      <w:color w:val="auto"/>
                      <w:kern w:val="0"/>
                      <w:lang w:val="en-US"/>
                    </w:rPr>
                    <w:t>居民/10户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清淤VI区-2，右岸</w:t>
                  </w:r>
                </w:p>
              </w:tc>
              <w:tc>
                <w:tcPr>
                  <w:tcW w:w="587" w:type="pct"/>
                  <w:vAlign w:val="center"/>
                </w:tcPr>
                <w:p>
                  <w:pPr>
                    <w:pStyle w:val="236"/>
                    <w:rPr>
                      <w:color w:val="auto"/>
                      <w:kern w:val="0"/>
                      <w:lang w:val="en-US"/>
                    </w:rPr>
                  </w:pPr>
                  <w:r>
                    <w:rPr>
                      <w:color w:val="auto"/>
                      <w:kern w:val="0"/>
                      <w:lang w:val="en-US"/>
                    </w:rPr>
                    <w:t>140~350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12#居民区</w:t>
                  </w:r>
                </w:p>
              </w:tc>
              <w:tc>
                <w:tcPr>
                  <w:tcW w:w="1063" w:type="pct"/>
                  <w:vAlign w:val="center"/>
                </w:tcPr>
                <w:p>
                  <w:pPr>
                    <w:pStyle w:val="236"/>
                    <w:rPr>
                      <w:color w:val="auto"/>
                      <w:kern w:val="0"/>
                      <w:lang w:val="en-US"/>
                    </w:rPr>
                  </w:pPr>
                  <w:r>
                    <w:rPr>
                      <w:color w:val="auto"/>
                      <w:kern w:val="0"/>
                      <w:lang w:val="en-US"/>
                    </w:rPr>
                    <w:t>东经</w:t>
                  </w:r>
                  <w:r>
                    <w:rPr>
                      <w:color w:val="auto"/>
                      <w:kern w:val="0"/>
                    </w:rPr>
                    <w:t>105.81935</w:t>
                  </w:r>
                  <w:r>
                    <w:rPr>
                      <w:color w:val="auto"/>
                      <w:kern w:val="0"/>
                      <w:lang w:val="en-US"/>
                    </w:rPr>
                    <w:t>3</w:t>
                  </w:r>
                </w:p>
                <w:p>
                  <w:pPr>
                    <w:pStyle w:val="236"/>
                    <w:rPr>
                      <w:color w:val="auto"/>
                      <w:kern w:val="0"/>
                    </w:rPr>
                  </w:pPr>
                  <w:r>
                    <w:rPr>
                      <w:color w:val="auto"/>
                      <w:kern w:val="0"/>
                    </w:rPr>
                    <w:t>北纬32.614696</w:t>
                  </w:r>
                </w:p>
              </w:tc>
              <w:tc>
                <w:tcPr>
                  <w:tcW w:w="726" w:type="pct"/>
                  <w:vAlign w:val="center"/>
                </w:tcPr>
                <w:p>
                  <w:pPr>
                    <w:pStyle w:val="236"/>
                    <w:rPr>
                      <w:color w:val="auto"/>
                      <w:kern w:val="0"/>
                      <w:lang w:val="en-US"/>
                    </w:rPr>
                  </w:pPr>
                  <w:r>
                    <w:rPr>
                      <w:color w:val="auto"/>
                      <w:kern w:val="0"/>
                      <w:lang w:val="en-US"/>
                    </w:rPr>
                    <w:t>居民/60户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rPr>
                  </w:pPr>
                  <w:r>
                    <w:rPr>
                      <w:color w:val="auto"/>
                      <w:kern w:val="0"/>
                      <w:lang w:val="en-US"/>
                    </w:rPr>
                    <w:t>清淤VI区-2，左岸</w:t>
                  </w:r>
                </w:p>
              </w:tc>
              <w:tc>
                <w:tcPr>
                  <w:tcW w:w="587" w:type="pct"/>
                  <w:vAlign w:val="center"/>
                </w:tcPr>
                <w:p>
                  <w:pPr>
                    <w:pStyle w:val="236"/>
                    <w:rPr>
                      <w:color w:val="auto"/>
                      <w:kern w:val="0"/>
                      <w:lang w:val="en-US"/>
                    </w:rPr>
                  </w:pPr>
                  <w:r>
                    <w:rPr>
                      <w:color w:val="auto"/>
                      <w:kern w:val="0"/>
                      <w:lang w:val="en-US"/>
                    </w:rPr>
                    <w:t>278~500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13#居民区</w:t>
                  </w:r>
                </w:p>
              </w:tc>
              <w:tc>
                <w:tcPr>
                  <w:tcW w:w="1063" w:type="pct"/>
                  <w:vAlign w:val="center"/>
                </w:tcPr>
                <w:p>
                  <w:pPr>
                    <w:pStyle w:val="236"/>
                    <w:rPr>
                      <w:color w:val="auto"/>
                      <w:kern w:val="0"/>
                    </w:rPr>
                  </w:pPr>
                  <w:r>
                    <w:rPr>
                      <w:color w:val="auto"/>
                      <w:kern w:val="0"/>
                      <w:lang w:val="en-US"/>
                    </w:rPr>
                    <w:t>东经</w:t>
                  </w:r>
                  <w:r>
                    <w:rPr>
                      <w:color w:val="auto"/>
                      <w:kern w:val="0"/>
                    </w:rPr>
                    <w:t>105.816069</w:t>
                  </w:r>
                </w:p>
                <w:p>
                  <w:pPr>
                    <w:pStyle w:val="236"/>
                    <w:rPr>
                      <w:color w:val="auto"/>
                      <w:kern w:val="0"/>
                      <w:lang w:val="en-US"/>
                    </w:rPr>
                  </w:pPr>
                  <w:r>
                    <w:rPr>
                      <w:color w:val="auto"/>
                      <w:kern w:val="0"/>
                    </w:rPr>
                    <w:t>北纬32.61523</w:t>
                  </w:r>
                  <w:r>
                    <w:rPr>
                      <w:color w:val="auto"/>
                      <w:kern w:val="0"/>
                      <w:lang w:val="en-US"/>
                    </w:rPr>
                    <w:t>3</w:t>
                  </w:r>
                </w:p>
              </w:tc>
              <w:tc>
                <w:tcPr>
                  <w:tcW w:w="726" w:type="pct"/>
                  <w:vAlign w:val="center"/>
                </w:tcPr>
                <w:p>
                  <w:pPr>
                    <w:pStyle w:val="236"/>
                    <w:rPr>
                      <w:color w:val="auto"/>
                      <w:kern w:val="0"/>
                      <w:lang w:val="en-US"/>
                    </w:rPr>
                  </w:pPr>
                  <w:r>
                    <w:rPr>
                      <w:color w:val="auto"/>
                      <w:kern w:val="0"/>
                      <w:lang w:val="en-US"/>
                    </w:rPr>
                    <w:t>居民/15户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lang w:val="en-US"/>
                    </w:rPr>
                  </w:pPr>
                  <w:r>
                    <w:rPr>
                      <w:color w:val="auto"/>
                      <w:kern w:val="0"/>
                      <w:lang w:val="en-US"/>
                    </w:rPr>
                    <w:t>清淤VI区-2，左岸</w:t>
                  </w:r>
                </w:p>
              </w:tc>
              <w:tc>
                <w:tcPr>
                  <w:tcW w:w="587" w:type="pct"/>
                  <w:vAlign w:val="center"/>
                </w:tcPr>
                <w:p>
                  <w:pPr>
                    <w:pStyle w:val="236"/>
                    <w:rPr>
                      <w:color w:val="auto"/>
                      <w:kern w:val="0"/>
                      <w:lang w:val="en-US"/>
                    </w:rPr>
                  </w:pPr>
                  <w:r>
                    <w:rPr>
                      <w:color w:val="auto"/>
                      <w:kern w:val="0"/>
                      <w:lang w:val="en-US"/>
                    </w:rPr>
                    <w:t>170~362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Merge w:val="continue"/>
                  <w:vAlign w:val="center"/>
                </w:tcPr>
                <w:p>
                  <w:pPr>
                    <w:pStyle w:val="236"/>
                    <w:rPr>
                      <w:color w:val="auto"/>
                      <w:kern w:val="0"/>
                    </w:rPr>
                  </w:pPr>
                </w:p>
              </w:tc>
              <w:tc>
                <w:tcPr>
                  <w:tcW w:w="425" w:type="pct"/>
                  <w:vAlign w:val="center"/>
                </w:tcPr>
                <w:p>
                  <w:pPr>
                    <w:pStyle w:val="236"/>
                    <w:rPr>
                      <w:color w:val="auto"/>
                      <w:kern w:val="0"/>
                    </w:rPr>
                  </w:pPr>
                  <w:r>
                    <w:rPr>
                      <w:color w:val="auto"/>
                    </w:rPr>
                    <w:t>1</w:t>
                  </w:r>
                  <w:r>
                    <w:rPr>
                      <w:color w:val="auto"/>
                      <w:lang w:val="en-US"/>
                    </w:rPr>
                    <w:t>4</w:t>
                  </w:r>
                  <w:r>
                    <w:rPr>
                      <w:color w:val="auto"/>
                    </w:rPr>
                    <w:t>#居民区</w:t>
                  </w:r>
                </w:p>
              </w:tc>
              <w:tc>
                <w:tcPr>
                  <w:tcW w:w="1063" w:type="pct"/>
                  <w:vAlign w:val="center"/>
                </w:tcPr>
                <w:p>
                  <w:pPr>
                    <w:pStyle w:val="236"/>
                    <w:rPr>
                      <w:color w:val="auto"/>
                      <w:kern w:val="0"/>
                    </w:rPr>
                  </w:pPr>
                  <w:r>
                    <w:rPr>
                      <w:color w:val="auto"/>
                      <w:kern w:val="0"/>
                      <w:lang w:val="en-US"/>
                    </w:rPr>
                    <w:t>东经</w:t>
                  </w:r>
                  <w:r>
                    <w:rPr>
                      <w:color w:val="auto"/>
                      <w:kern w:val="0"/>
                    </w:rPr>
                    <w:t>105.811327</w:t>
                  </w:r>
                </w:p>
                <w:p>
                  <w:pPr>
                    <w:pStyle w:val="236"/>
                    <w:rPr>
                      <w:color w:val="auto"/>
                      <w:kern w:val="0"/>
                      <w:lang w:val="en-US"/>
                    </w:rPr>
                  </w:pPr>
                  <w:r>
                    <w:rPr>
                      <w:color w:val="auto"/>
                      <w:kern w:val="0"/>
                    </w:rPr>
                    <w:t>北纬32.61428</w:t>
                  </w:r>
                  <w:r>
                    <w:rPr>
                      <w:color w:val="auto"/>
                      <w:kern w:val="0"/>
                      <w:lang w:val="en-US"/>
                    </w:rPr>
                    <w:t>9</w:t>
                  </w:r>
                </w:p>
              </w:tc>
              <w:tc>
                <w:tcPr>
                  <w:tcW w:w="726" w:type="pct"/>
                  <w:vAlign w:val="center"/>
                </w:tcPr>
                <w:p>
                  <w:pPr>
                    <w:pStyle w:val="236"/>
                    <w:rPr>
                      <w:color w:val="auto"/>
                      <w:kern w:val="0"/>
                      <w:lang w:val="en-US"/>
                    </w:rPr>
                  </w:pPr>
                  <w:r>
                    <w:rPr>
                      <w:color w:val="auto"/>
                      <w:kern w:val="0"/>
                      <w:lang w:val="en-US"/>
                    </w:rPr>
                    <w:t>居民/30户</w:t>
                  </w:r>
                </w:p>
              </w:tc>
              <w:tc>
                <w:tcPr>
                  <w:tcW w:w="363" w:type="pct"/>
                  <w:vMerge w:val="continue"/>
                  <w:vAlign w:val="center"/>
                </w:tcPr>
                <w:p>
                  <w:pPr>
                    <w:pStyle w:val="236"/>
                    <w:rPr>
                      <w:color w:val="auto"/>
                      <w:kern w:val="0"/>
                    </w:rPr>
                  </w:pPr>
                </w:p>
              </w:tc>
              <w:tc>
                <w:tcPr>
                  <w:tcW w:w="1550" w:type="pct"/>
                  <w:vAlign w:val="center"/>
                </w:tcPr>
                <w:p>
                  <w:pPr>
                    <w:pStyle w:val="236"/>
                    <w:rPr>
                      <w:color w:val="auto"/>
                      <w:kern w:val="0"/>
                    </w:rPr>
                  </w:pPr>
                  <w:r>
                    <w:rPr>
                      <w:color w:val="auto"/>
                      <w:kern w:val="0"/>
                      <w:lang w:val="en-US"/>
                    </w:rPr>
                    <w:t>清淤VI区-2，右岸</w:t>
                  </w:r>
                </w:p>
              </w:tc>
              <w:tc>
                <w:tcPr>
                  <w:tcW w:w="587" w:type="pct"/>
                  <w:vAlign w:val="center"/>
                </w:tcPr>
                <w:p>
                  <w:pPr>
                    <w:pStyle w:val="236"/>
                    <w:rPr>
                      <w:color w:val="auto"/>
                      <w:kern w:val="0"/>
                      <w:lang w:val="en-US"/>
                    </w:rPr>
                  </w:pPr>
                  <w:r>
                    <w:rPr>
                      <w:color w:val="auto"/>
                      <w:kern w:val="0"/>
                      <w:lang w:val="en-US"/>
                    </w:rPr>
                    <w:t>180~485</w:t>
                  </w:r>
                </w:p>
              </w:tc>
            </w:tr>
          </w:tbl>
          <w:p>
            <w:pPr>
              <w:spacing w:line="360" w:lineRule="auto"/>
              <w:rPr>
                <w:b/>
                <w:bCs/>
                <w:color w:val="auto"/>
                <w:sz w:val="24"/>
              </w:rPr>
            </w:pPr>
            <w:r>
              <w:rPr>
                <w:b/>
                <w:bCs/>
                <w:color w:val="auto"/>
                <w:sz w:val="24"/>
              </w:rPr>
              <w:t>2、声环境</w:t>
            </w:r>
          </w:p>
          <w:p>
            <w:pPr>
              <w:spacing w:line="360" w:lineRule="auto"/>
              <w:ind w:firstLine="480" w:firstLineChars="200"/>
              <w:rPr>
                <w:color w:val="auto"/>
                <w:sz w:val="24"/>
              </w:rPr>
            </w:pPr>
            <w:r>
              <w:rPr>
                <w:color w:val="auto"/>
                <w:sz w:val="24"/>
              </w:rPr>
              <w:t>本项目声环境保护目标为厂界外200m范围内的敏感点，</w:t>
            </w:r>
            <w:r>
              <w:rPr>
                <w:rFonts w:hint="eastAsia"/>
                <w:color w:val="auto"/>
                <w:sz w:val="24"/>
                <w:lang w:val="en-US" w:eastAsia="zh-CN"/>
              </w:rPr>
              <w:t>根据朝天区城市声环境功能适用区域图，本项目周边居民区执行《声环境质量标准》（GB3096-2008）2类标准，</w:t>
            </w:r>
            <w:r>
              <w:rPr>
                <w:color w:val="auto"/>
                <w:sz w:val="24"/>
              </w:rPr>
              <w:t>具体如下表所示。</w:t>
            </w:r>
          </w:p>
          <w:p>
            <w:pPr>
              <w:widowControl/>
              <w:numPr>
                <w:ilvl w:val="0"/>
                <w:numId w:val="8"/>
              </w:numPr>
              <w:adjustRightInd w:val="0"/>
              <w:snapToGrid w:val="0"/>
              <w:jc w:val="center"/>
              <w:rPr>
                <w:b/>
                <w:color w:val="auto"/>
                <w:szCs w:val="18"/>
              </w:rPr>
            </w:pPr>
            <w:r>
              <w:rPr>
                <w:b/>
                <w:color w:val="auto"/>
                <w:szCs w:val="18"/>
              </w:rPr>
              <w:t>本项目声环境主要保护目标</w:t>
            </w:r>
          </w:p>
          <w:tbl>
            <w:tblPr>
              <w:tblStyle w:val="3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0"/>
              <w:gridCol w:w="1468"/>
              <w:gridCol w:w="2623"/>
              <w:gridCol w:w="1200"/>
              <w:gridCol w:w="1239"/>
              <w:gridCol w:w="14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57" w:hRule="atLeast"/>
                <w:jc w:val="center"/>
              </w:trPr>
              <w:tc>
                <w:tcPr>
                  <w:tcW w:w="301" w:type="pct"/>
                  <w:vAlign w:val="center"/>
                </w:tcPr>
                <w:p>
                  <w:pPr>
                    <w:pStyle w:val="236"/>
                    <w:rPr>
                      <w:b/>
                      <w:bCs/>
                      <w:color w:val="auto"/>
                    </w:rPr>
                  </w:pPr>
                  <w:r>
                    <w:rPr>
                      <w:b/>
                      <w:bCs/>
                      <w:color w:val="auto"/>
                    </w:rPr>
                    <w:t>环境</w:t>
                  </w:r>
                </w:p>
                <w:p>
                  <w:pPr>
                    <w:pStyle w:val="236"/>
                    <w:rPr>
                      <w:b/>
                      <w:bCs/>
                      <w:color w:val="auto"/>
                      <w:lang w:val="en-US"/>
                    </w:rPr>
                  </w:pPr>
                  <w:r>
                    <w:rPr>
                      <w:b/>
                      <w:bCs/>
                      <w:color w:val="auto"/>
                    </w:rPr>
                    <w:t>要素</w:t>
                  </w:r>
                </w:p>
              </w:tc>
              <w:tc>
                <w:tcPr>
                  <w:tcW w:w="867" w:type="pct"/>
                  <w:vAlign w:val="center"/>
                </w:tcPr>
                <w:p>
                  <w:pPr>
                    <w:pStyle w:val="236"/>
                    <w:rPr>
                      <w:b/>
                      <w:bCs/>
                      <w:color w:val="auto"/>
                      <w:lang w:val="en-US"/>
                    </w:rPr>
                  </w:pPr>
                  <w:r>
                    <w:rPr>
                      <w:b/>
                      <w:bCs/>
                      <w:color w:val="auto"/>
                      <w:lang w:val="en-US"/>
                    </w:rPr>
                    <w:t>声环境保护目标</w:t>
                  </w:r>
                </w:p>
              </w:tc>
              <w:tc>
                <w:tcPr>
                  <w:tcW w:w="1549" w:type="pct"/>
                  <w:vAlign w:val="center"/>
                </w:tcPr>
                <w:p>
                  <w:pPr>
                    <w:pStyle w:val="236"/>
                    <w:rPr>
                      <w:b/>
                      <w:bCs/>
                      <w:color w:val="auto"/>
                      <w:lang w:val="en-US"/>
                    </w:rPr>
                  </w:pPr>
                  <w:r>
                    <w:rPr>
                      <w:b/>
                      <w:bCs/>
                      <w:color w:val="auto"/>
                      <w:lang w:val="en-US"/>
                    </w:rPr>
                    <w:t>地理坐标</w:t>
                  </w:r>
                </w:p>
              </w:tc>
              <w:tc>
                <w:tcPr>
                  <w:tcW w:w="709" w:type="pct"/>
                  <w:vAlign w:val="center"/>
                </w:tcPr>
                <w:p>
                  <w:pPr>
                    <w:pStyle w:val="236"/>
                    <w:rPr>
                      <w:b/>
                      <w:bCs/>
                      <w:color w:val="auto"/>
                      <w:lang w:val="en-US"/>
                    </w:rPr>
                  </w:pPr>
                  <w:r>
                    <w:rPr>
                      <w:b/>
                      <w:bCs/>
                      <w:color w:val="auto"/>
                      <w:lang w:val="en-US"/>
                    </w:rPr>
                    <w:t>与项目距离/m</w:t>
                  </w:r>
                </w:p>
              </w:tc>
              <w:tc>
                <w:tcPr>
                  <w:tcW w:w="732" w:type="pct"/>
                  <w:vAlign w:val="center"/>
                </w:tcPr>
                <w:p>
                  <w:pPr>
                    <w:pStyle w:val="236"/>
                    <w:rPr>
                      <w:b/>
                      <w:bCs/>
                      <w:color w:val="auto"/>
                      <w:lang w:val="en-US"/>
                    </w:rPr>
                  </w:pPr>
                  <w:r>
                    <w:rPr>
                      <w:b/>
                      <w:bCs/>
                      <w:color w:val="auto"/>
                      <w:lang w:val="en-US"/>
                    </w:rPr>
                    <w:t>执行标准/功能区类别</w:t>
                  </w:r>
                </w:p>
              </w:tc>
              <w:tc>
                <w:tcPr>
                  <w:tcW w:w="840" w:type="pct"/>
                  <w:vAlign w:val="center"/>
                </w:tcPr>
                <w:p>
                  <w:pPr>
                    <w:pStyle w:val="236"/>
                    <w:rPr>
                      <w:b/>
                      <w:bCs/>
                      <w:color w:val="auto"/>
                      <w:lang w:val="en-US"/>
                    </w:rPr>
                  </w:pPr>
                  <w:r>
                    <w:rPr>
                      <w:b/>
                      <w:bCs/>
                      <w:color w:val="auto"/>
                      <w:lang w:val="en-US"/>
                    </w:rPr>
                    <w:t>声环境保护目标情况说明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restart"/>
                  <w:vAlign w:val="center"/>
                </w:tcPr>
                <w:p>
                  <w:pPr>
                    <w:pStyle w:val="12"/>
                    <w:ind w:firstLine="420"/>
                    <w:jc w:val="center"/>
                    <w:rPr>
                      <w:color w:val="auto"/>
                      <w:sz w:val="21"/>
                      <w:szCs w:val="21"/>
                    </w:rPr>
                  </w:pPr>
                  <w:r>
                    <w:rPr>
                      <w:color w:val="auto"/>
                      <w:sz w:val="21"/>
                      <w:szCs w:val="21"/>
                    </w:rPr>
                    <w:t>声环境</w:t>
                  </w:r>
                </w:p>
              </w:tc>
              <w:tc>
                <w:tcPr>
                  <w:tcW w:w="867" w:type="pct"/>
                  <w:vAlign w:val="center"/>
                </w:tcPr>
                <w:p>
                  <w:pPr>
                    <w:pStyle w:val="236"/>
                    <w:rPr>
                      <w:color w:val="auto"/>
                      <w:lang w:val="en-US"/>
                    </w:rPr>
                  </w:pPr>
                  <w:r>
                    <w:rPr>
                      <w:color w:val="auto"/>
                    </w:rPr>
                    <w:t>1#居民区</w:t>
                  </w:r>
                </w:p>
              </w:tc>
              <w:tc>
                <w:tcPr>
                  <w:tcW w:w="1549" w:type="pct"/>
                  <w:vAlign w:val="center"/>
                </w:tcPr>
                <w:p>
                  <w:pPr>
                    <w:pStyle w:val="236"/>
                    <w:rPr>
                      <w:color w:val="auto"/>
                      <w:kern w:val="0"/>
                      <w:lang w:val="en-US"/>
                    </w:rPr>
                  </w:pPr>
                  <w:r>
                    <w:rPr>
                      <w:color w:val="auto"/>
                      <w:kern w:val="0"/>
                      <w:lang w:val="en-US"/>
                    </w:rPr>
                    <w:t>东经105.847796</w:t>
                  </w:r>
                </w:p>
                <w:p>
                  <w:pPr>
                    <w:pStyle w:val="236"/>
                    <w:rPr>
                      <w:color w:val="auto"/>
                      <w:lang w:val="en-US"/>
                    </w:rPr>
                  </w:pPr>
                  <w:r>
                    <w:rPr>
                      <w:color w:val="auto"/>
                      <w:kern w:val="0"/>
                      <w:lang w:val="en-US"/>
                    </w:rPr>
                    <w:t>北纬32.617126</w:t>
                  </w:r>
                </w:p>
              </w:tc>
              <w:tc>
                <w:tcPr>
                  <w:tcW w:w="709" w:type="pct"/>
                  <w:vAlign w:val="center"/>
                </w:tcPr>
                <w:p>
                  <w:pPr>
                    <w:pStyle w:val="236"/>
                    <w:rPr>
                      <w:color w:val="auto"/>
                      <w:kern w:val="0"/>
                      <w:lang w:val="en-US"/>
                    </w:rPr>
                  </w:pPr>
                  <w:r>
                    <w:rPr>
                      <w:color w:val="auto"/>
                      <w:lang w:val="en-US"/>
                    </w:rPr>
                    <w:t>66~200</w:t>
                  </w:r>
                </w:p>
              </w:tc>
              <w:tc>
                <w:tcPr>
                  <w:tcW w:w="732" w:type="pct"/>
                  <w:vMerge w:val="restart"/>
                  <w:vAlign w:val="center"/>
                </w:tcPr>
                <w:p>
                  <w:pPr>
                    <w:pStyle w:val="236"/>
                    <w:rPr>
                      <w:color w:val="auto"/>
                      <w:lang w:val="en-US"/>
                    </w:rPr>
                  </w:pPr>
                  <w:r>
                    <w:rPr>
                      <w:color w:val="auto"/>
                      <w:lang w:val="en-US"/>
                    </w:rPr>
                    <w:t>《声环境质量标准》（GB3096-2008）2类标准</w:t>
                  </w:r>
                </w:p>
              </w:tc>
              <w:tc>
                <w:tcPr>
                  <w:tcW w:w="840" w:type="pct"/>
                  <w:vAlign w:val="center"/>
                </w:tcPr>
                <w:p>
                  <w:pPr>
                    <w:pStyle w:val="236"/>
                    <w:rPr>
                      <w:color w:val="auto"/>
                      <w:lang w:val="en-US"/>
                    </w:rPr>
                  </w:pPr>
                  <w:r>
                    <w:rPr>
                      <w:color w:val="auto"/>
                      <w:kern w:val="0"/>
                      <w:lang w:val="en-US"/>
                    </w:rPr>
                    <w:t>居民/30户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2#居民区</w:t>
                  </w:r>
                </w:p>
              </w:tc>
              <w:tc>
                <w:tcPr>
                  <w:tcW w:w="1549" w:type="pct"/>
                  <w:vAlign w:val="center"/>
                </w:tcPr>
                <w:p>
                  <w:pPr>
                    <w:pStyle w:val="236"/>
                    <w:rPr>
                      <w:color w:val="auto"/>
                      <w:kern w:val="0"/>
                      <w:lang w:val="en-US"/>
                    </w:rPr>
                  </w:pPr>
                  <w:r>
                    <w:rPr>
                      <w:color w:val="auto"/>
                      <w:kern w:val="0"/>
                      <w:lang w:val="en-US"/>
                    </w:rPr>
                    <w:t>东经105.847260</w:t>
                  </w:r>
                </w:p>
                <w:p>
                  <w:pPr>
                    <w:pStyle w:val="236"/>
                    <w:rPr>
                      <w:color w:val="auto"/>
                      <w:lang w:val="en-US"/>
                    </w:rPr>
                  </w:pPr>
                  <w:r>
                    <w:rPr>
                      <w:color w:val="auto"/>
                      <w:kern w:val="0"/>
                      <w:lang w:val="en-US"/>
                    </w:rPr>
                    <w:t>北纬32.614170</w:t>
                  </w:r>
                </w:p>
              </w:tc>
              <w:tc>
                <w:tcPr>
                  <w:tcW w:w="709" w:type="pct"/>
                  <w:vAlign w:val="center"/>
                </w:tcPr>
                <w:p>
                  <w:pPr>
                    <w:pStyle w:val="236"/>
                    <w:rPr>
                      <w:color w:val="auto"/>
                      <w:kern w:val="0"/>
                      <w:lang w:val="en-US"/>
                    </w:rPr>
                  </w:pPr>
                  <w:r>
                    <w:rPr>
                      <w:color w:val="auto"/>
                      <w:lang w:val="en-US"/>
                    </w:rPr>
                    <w:t>102~200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居民/80户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3#居民区</w:t>
                  </w:r>
                </w:p>
              </w:tc>
              <w:tc>
                <w:tcPr>
                  <w:tcW w:w="1549" w:type="pct"/>
                  <w:vAlign w:val="center"/>
                </w:tcPr>
                <w:p>
                  <w:pPr>
                    <w:pStyle w:val="236"/>
                    <w:rPr>
                      <w:color w:val="auto"/>
                      <w:kern w:val="0"/>
                      <w:lang w:val="en-US"/>
                    </w:rPr>
                  </w:pPr>
                  <w:r>
                    <w:rPr>
                      <w:color w:val="auto"/>
                      <w:kern w:val="0"/>
                      <w:lang w:val="en-US"/>
                    </w:rPr>
                    <w:t>东经105.839888</w:t>
                  </w:r>
                </w:p>
                <w:p>
                  <w:pPr>
                    <w:pStyle w:val="236"/>
                    <w:rPr>
                      <w:color w:val="auto"/>
                      <w:lang w:val="en-US"/>
                    </w:rPr>
                  </w:pPr>
                  <w:r>
                    <w:rPr>
                      <w:color w:val="auto"/>
                      <w:kern w:val="0"/>
                      <w:lang w:val="en-US"/>
                    </w:rPr>
                    <w:t>北纬32.614739</w:t>
                  </w:r>
                </w:p>
              </w:tc>
              <w:tc>
                <w:tcPr>
                  <w:tcW w:w="709" w:type="pct"/>
                  <w:vAlign w:val="center"/>
                </w:tcPr>
                <w:p>
                  <w:pPr>
                    <w:pStyle w:val="236"/>
                    <w:rPr>
                      <w:color w:val="auto"/>
                      <w:kern w:val="0"/>
                      <w:lang w:val="en-US"/>
                    </w:rPr>
                  </w:pPr>
                  <w:r>
                    <w:rPr>
                      <w:color w:val="auto"/>
                      <w:kern w:val="0"/>
                      <w:lang w:val="en-US"/>
                    </w:rPr>
                    <w:t>47~195</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居民/15户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4#居民区</w:t>
                  </w:r>
                </w:p>
              </w:tc>
              <w:tc>
                <w:tcPr>
                  <w:tcW w:w="1549" w:type="pct"/>
                  <w:vAlign w:val="center"/>
                </w:tcPr>
                <w:p>
                  <w:pPr>
                    <w:pStyle w:val="236"/>
                    <w:rPr>
                      <w:color w:val="auto"/>
                      <w:kern w:val="0"/>
                      <w:lang w:val="en-US"/>
                    </w:rPr>
                  </w:pPr>
                  <w:r>
                    <w:rPr>
                      <w:color w:val="auto"/>
                      <w:kern w:val="0"/>
                      <w:lang w:val="en-US"/>
                    </w:rPr>
                    <w:t>东经105.829529</w:t>
                  </w:r>
                </w:p>
                <w:p>
                  <w:pPr>
                    <w:pStyle w:val="236"/>
                    <w:rPr>
                      <w:color w:val="auto"/>
                      <w:lang w:val="en-US"/>
                    </w:rPr>
                  </w:pPr>
                  <w:r>
                    <w:rPr>
                      <w:color w:val="auto"/>
                      <w:kern w:val="0"/>
                      <w:lang w:val="en-US"/>
                    </w:rPr>
                    <w:t>北纬32.611858</w:t>
                  </w:r>
                </w:p>
              </w:tc>
              <w:tc>
                <w:tcPr>
                  <w:tcW w:w="709" w:type="pct"/>
                  <w:vAlign w:val="center"/>
                </w:tcPr>
                <w:p>
                  <w:pPr>
                    <w:pStyle w:val="236"/>
                    <w:rPr>
                      <w:color w:val="auto"/>
                      <w:kern w:val="0"/>
                      <w:lang w:val="en-US"/>
                    </w:rPr>
                  </w:pPr>
                  <w:r>
                    <w:rPr>
                      <w:color w:val="auto"/>
                      <w:kern w:val="0"/>
                      <w:lang w:val="en-US"/>
                    </w:rPr>
                    <w:t>90~200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居民/100户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5#居民区</w:t>
                  </w:r>
                </w:p>
              </w:tc>
              <w:tc>
                <w:tcPr>
                  <w:tcW w:w="1549" w:type="pct"/>
                  <w:vAlign w:val="center"/>
                </w:tcPr>
                <w:p>
                  <w:pPr>
                    <w:pStyle w:val="236"/>
                    <w:rPr>
                      <w:color w:val="auto"/>
                      <w:kern w:val="0"/>
                      <w:lang w:val="en-US"/>
                    </w:rPr>
                  </w:pPr>
                  <w:r>
                    <w:rPr>
                      <w:color w:val="auto"/>
                      <w:kern w:val="0"/>
                      <w:lang w:val="en-US"/>
                    </w:rPr>
                    <w:t>东经105.833563</w:t>
                  </w:r>
                </w:p>
                <w:p>
                  <w:pPr>
                    <w:pStyle w:val="236"/>
                    <w:rPr>
                      <w:color w:val="auto"/>
                      <w:lang w:val="en-US"/>
                    </w:rPr>
                  </w:pPr>
                  <w:r>
                    <w:rPr>
                      <w:color w:val="auto"/>
                      <w:kern w:val="0"/>
                      <w:lang w:val="en-US"/>
                    </w:rPr>
                    <w:t>北纬32.607288</w:t>
                  </w:r>
                </w:p>
              </w:tc>
              <w:tc>
                <w:tcPr>
                  <w:tcW w:w="709" w:type="pct"/>
                  <w:vAlign w:val="center"/>
                </w:tcPr>
                <w:p>
                  <w:pPr>
                    <w:pStyle w:val="236"/>
                    <w:rPr>
                      <w:color w:val="auto"/>
                      <w:kern w:val="0"/>
                      <w:lang w:val="en-US"/>
                    </w:rPr>
                  </w:pPr>
                  <w:r>
                    <w:rPr>
                      <w:color w:val="auto"/>
                      <w:kern w:val="0"/>
                      <w:lang w:val="en-US"/>
                    </w:rPr>
                    <w:t>90~200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居民/10户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6#居民区</w:t>
                  </w:r>
                </w:p>
              </w:tc>
              <w:tc>
                <w:tcPr>
                  <w:tcW w:w="1549" w:type="pct"/>
                  <w:vAlign w:val="center"/>
                </w:tcPr>
                <w:p>
                  <w:pPr>
                    <w:pStyle w:val="236"/>
                    <w:rPr>
                      <w:color w:val="auto"/>
                      <w:kern w:val="0"/>
                      <w:lang w:val="en-US"/>
                    </w:rPr>
                  </w:pPr>
                  <w:r>
                    <w:rPr>
                      <w:color w:val="auto"/>
                      <w:kern w:val="0"/>
                      <w:lang w:val="en-US"/>
                    </w:rPr>
                    <w:t>东经105.832147</w:t>
                  </w:r>
                </w:p>
                <w:p>
                  <w:pPr>
                    <w:pStyle w:val="236"/>
                    <w:rPr>
                      <w:color w:val="auto"/>
                      <w:lang w:val="en-US"/>
                    </w:rPr>
                  </w:pPr>
                  <w:r>
                    <w:rPr>
                      <w:color w:val="auto"/>
                      <w:kern w:val="0"/>
                      <w:lang w:val="en-US"/>
                    </w:rPr>
                    <w:t>北纬32.605094</w:t>
                  </w:r>
                </w:p>
              </w:tc>
              <w:tc>
                <w:tcPr>
                  <w:tcW w:w="709" w:type="pct"/>
                  <w:vAlign w:val="center"/>
                </w:tcPr>
                <w:p>
                  <w:pPr>
                    <w:pStyle w:val="236"/>
                    <w:rPr>
                      <w:color w:val="auto"/>
                      <w:kern w:val="0"/>
                      <w:lang w:val="en-US"/>
                    </w:rPr>
                  </w:pPr>
                  <w:r>
                    <w:rPr>
                      <w:color w:val="auto"/>
                      <w:kern w:val="0"/>
                      <w:lang w:val="en-US"/>
                    </w:rPr>
                    <w:t>180~200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居民/5户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7#居民区</w:t>
                  </w:r>
                </w:p>
              </w:tc>
              <w:tc>
                <w:tcPr>
                  <w:tcW w:w="1549" w:type="pct"/>
                  <w:vAlign w:val="center"/>
                </w:tcPr>
                <w:p>
                  <w:pPr>
                    <w:pStyle w:val="236"/>
                    <w:rPr>
                      <w:color w:val="auto"/>
                      <w:kern w:val="0"/>
                      <w:lang w:val="en-US"/>
                    </w:rPr>
                  </w:pPr>
                  <w:r>
                    <w:rPr>
                      <w:color w:val="auto"/>
                      <w:kern w:val="0"/>
                      <w:lang w:val="en-US"/>
                    </w:rPr>
                    <w:t>东经105.828955</w:t>
                  </w:r>
                </w:p>
                <w:p>
                  <w:pPr>
                    <w:pStyle w:val="236"/>
                    <w:rPr>
                      <w:color w:val="auto"/>
                      <w:lang w:val="en-US"/>
                    </w:rPr>
                  </w:pPr>
                  <w:r>
                    <w:rPr>
                      <w:color w:val="auto"/>
                      <w:kern w:val="0"/>
                      <w:lang w:val="en-US"/>
                    </w:rPr>
                    <w:t>北纬32.609106</w:t>
                  </w:r>
                </w:p>
              </w:tc>
              <w:tc>
                <w:tcPr>
                  <w:tcW w:w="709" w:type="pct"/>
                  <w:vAlign w:val="center"/>
                </w:tcPr>
                <w:p>
                  <w:pPr>
                    <w:pStyle w:val="236"/>
                    <w:rPr>
                      <w:color w:val="auto"/>
                      <w:kern w:val="0"/>
                      <w:lang w:val="en-US"/>
                    </w:rPr>
                  </w:pPr>
                  <w:r>
                    <w:rPr>
                      <w:color w:val="auto"/>
                      <w:kern w:val="0"/>
                      <w:lang w:val="en-US"/>
                    </w:rPr>
                    <w:t>88~200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居民/3户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8#居民区</w:t>
                  </w:r>
                </w:p>
              </w:tc>
              <w:tc>
                <w:tcPr>
                  <w:tcW w:w="1549" w:type="pct"/>
                  <w:vAlign w:val="center"/>
                </w:tcPr>
                <w:p>
                  <w:pPr>
                    <w:pStyle w:val="236"/>
                    <w:rPr>
                      <w:color w:val="auto"/>
                      <w:kern w:val="0"/>
                      <w:lang w:val="en-US"/>
                    </w:rPr>
                  </w:pPr>
                  <w:r>
                    <w:rPr>
                      <w:color w:val="auto"/>
                      <w:kern w:val="0"/>
                      <w:lang w:val="en-US"/>
                    </w:rPr>
                    <w:t>东经105.824052</w:t>
                  </w:r>
                </w:p>
                <w:p>
                  <w:pPr>
                    <w:pStyle w:val="236"/>
                    <w:rPr>
                      <w:color w:val="auto"/>
                      <w:lang w:val="en-US"/>
                    </w:rPr>
                  </w:pPr>
                  <w:r>
                    <w:rPr>
                      <w:color w:val="auto"/>
                      <w:kern w:val="0"/>
                      <w:lang w:val="en-US"/>
                    </w:rPr>
                    <w:t>北纬32.604418</w:t>
                  </w:r>
                </w:p>
              </w:tc>
              <w:tc>
                <w:tcPr>
                  <w:tcW w:w="709" w:type="pct"/>
                  <w:vAlign w:val="center"/>
                </w:tcPr>
                <w:p>
                  <w:pPr>
                    <w:pStyle w:val="236"/>
                    <w:rPr>
                      <w:color w:val="auto"/>
                      <w:kern w:val="0"/>
                      <w:lang w:val="en-US"/>
                    </w:rPr>
                  </w:pPr>
                  <w:r>
                    <w:rPr>
                      <w:color w:val="auto"/>
                      <w:kern w:val="0"/>
                      <w:lang w:val="en-US"/>
                    </w:rPr>
                    <w:t>118~200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居民/10户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9#居民区</w:t>
                  </w:r>
                </w:p>
              </w:tc>
              <w:tc>
                <w:tcPr>
                  <w:tcW w:w="1549" w:type="pct"/>
                  <w:vAlign w:val="center"/>
                </w:tcPr>
                <w:p>
                  <w:pPr>
                    <w:pStyle w:val="236"/>
                    <w:rPr>
                      <w:color w:val="auto"/>
                      <w:kern w:val="0"/>
                    </w:rPr>
                  </w:pPr>
                  <w:r>
                    <w:rPr>
                      <w:color w:val="auto"/>
                      <w:kern w:val="0"/>
                      <w:lang w:val="en-US"/>
                    </w:rPr>
                    <w:t>东经</w:t>
                  </w:r>
                  <w:r>
                    <w:rPr>
                      <w:color w:val="auto"/>
                      <w:kern w:val="0"/>
                    </w:rPr>
                    <w:t>105.821573</w:t>
                  </w:r>
                </w:p>
                <w:p>
                  <w:pPr>
                    <w:pStyle w:val="236"/>
                    <w:rPr>
                      <w:color w:val="auto"/>
                      <w:lang w:val="en-US"/>
                    </w:rPr>
                  </w:pPr>
                  <w:r>
                    <w:rPr>
                      <w:color w:val="auto"/>
                      <w:kern w:val="0"/>
                    </w:rPr>
                    <w:t>北纬32.60773</w:t>
                  </w:r>
                  <w:r>
                    <w:rPr>
                      <w:color w:val="auto"/>
                      <w:kern w:val="0"/>
                      <w:lang w:val="en-US"/>
                    </w:rPr>
                    <w:t>9</w:t>
                  </w:r>
                </w:p>
              </w:tc>
              <w:tc>
                <w:tcPr>
                  <w:tcW w:w="709" w:type="pct"/>
                  <w:vAlign w:val="center"/>
                </w:tcPr>
                <w:p>
                  <w:pPr>
                    <w:pStyle w:val="236"/>
                    <w:rPr>
                      <w:color w:val="auto"/>
                      <w:kern w:val="0"/>
                      <w:lang w:val="en-US"/>
                    </w:rPr>
                  </w:pPr>
                  <w:r>
                    <w:rPr>
                      <w:color w:val="auto"/>
                      <w:kern w:val="0"/>
                      <w:lang w:val="en-US"/>
                    </w:rPr>
                    <w:t>115~200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kern w:val="0"/>
                      <w:lang w:val="en-US"/>
                    </w:rPr>
                    <w:t>居民/10户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11#居民区</w:t>
                  </w:r>
                </w:p>
              </w:tc>
              <w:tc>
                <w:tcPr>
                  <w:tcW w:w="1549" w:type="pct"/>
                  <w:vAlign w:val="center"/>
                </w:tcPr>
                <w:p>
                  <w:pPr>
                    <w:pStyle w:val="236"/>
                    <w:rPr>
                      <w:color w:val="auto"/>
                      <w:kern w:val="0"/>
                      <w:lang w:val="en-US"/>
                    </w:rPr>
                  </w:pPr>
                  <w:r>
                    <w:rPr>
                      <w:color w:val="auto"/>
                      <w:kern w:val="0"/>
                      <w:lang w:val="en-US"/>
                    </w:rPr>
                    <w:t>东经105.817893</w:t>
                  </w:r>
                </w:p>
                <w:p>
                  <w:pPr>
                    <w:pStyle w:val="236"/>
                    <w:rPr>
                      <w:color w:val="auto"/>
                      <w:lang w:val="en-US"/>
                    </w:rPr>
                  </w:pPr>
                  <w:r>
                    <w:rPr>
                      <w:color w:val="auto"/>
                      <w:kern w:val="0"/>
                      <w:lang w:val="en-US"/>
                    </w:rPr>
                    <w:t>北纬32.612626</w:t>
                  </w:r>
                </w:p>
              </w:tc>
              <w:tc>
                <w:tcPr>
                  <w:tcW w:w="709" w:type="pct"/>
                  <w:vAlign w:val="center"/>
                </w:tcPr>
                <w:p>
                  <w:pPr>
                    <w:pStyle w:val="236"/>
                    <w:rPr>
                      <w:color w:val="auto"/>
                      <w:kern w:val="0"/>
                      <w:lang w:val="en-US"/>
                    </w:rPr>
                  </w:pPr>
                  <w:r>
                    <w:rPr>
                      <w:color w:val="auto"/>
                      <w:kern w:val="0"/>
                      <w:lang w:val="en-US"/>
                    </w:rPr>
                    <w:t>140~200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lang w:val="en-US"/>
                    </w:rPr>
                    <w:t>居民/8户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13#居民区</w:t>
                  </w:r>
                </w:p>
              </w:tc>
              <w:tc>
                <w:tcPr>
                  <w:tcW w:w="1549" w:type="pct"/>
                  <w:vAlign w:val="center"/>
                </w:tcPr>
                <w:p>
                  <w:pPr>
                    <w:pStyle w:val="236"/>
                    <w:rPr>
                      <w:color w:val="auto"/>
                      <w:kern w:val="0"/>
                    </w:rPr>
                  </w:pPr>
                  <w:r>
                    <w:rPr>
                      <w:color w:val="auto"/>
                      <w:kern w:val="0"/>
                      <w:lang w:val="en-US"/>
                    </w:rPr>
                    <w:t>东经</w:t>
                  </w:r>
                  <w:r>
                    <w:rPr>
                      <w:color w:val="auto"/>
                      <w:kern w:val="0"/>
                    </w:rPr>
                    <w:t>105.816069</w:t>
                  </w:r>
                </w:p>
                <w:p>
                  <w:pPr>
                    <w:pStyle w:val="236"/>
                    <w:rPr>
                      <w:color w:val="auto"/>
                      <w:lang w:val="en-US"/>
                    </w:rPr>
                  </w:pPr>
                  <w:r>
                    <w:rPr>
                      <w:color w:val="auto"/>
                      <w:kern w:val="0"/>
                    </w:rPr>
                    <w:t>北纬32.61523</w:t>
                  </w:r>
                  <w:r>
                    <w:rPr>
                      <w:color w:val="auto"/>
                      <w:kern w:val="0"/>
                      <w:lang w:val="en-US"/>
                    </w:rPr>
                    <w:t>3</w:t>
                  </w:r>
                </w:p>
              </w:tc>
              <w:tc>
                <w:tcPr>
                  <w:tcW w:w="709" w:type="pct"/>
                  <w:vAlign w:val="center"/>
                </w:tcPr>
                <w:p>
                  <w:pPr>
                    <w:pStyle w:val="236"/>
                    <w:rPr>
                      <w:color w:val="auto"/>
                      <w:kern w:val="0"/>
                      <w:lang w:val="en-US"/>
                    </w:rPr>
                  </w:pPr>
                  <w:r>
                    <w:rPr>
                      <w:color w:val="auto"/>
                      <w:kern w:val="0"/>
                      <w:lang w:val="en-US"/>
                    </w:rPr>
                    <w:t>170～200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lang w:val="en-US"/>
                    </w:rPr>
                    <w:t>居民/5户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vMerge w:val="continue"/>
                  <w:vAlign w:val="center"/>
                </w:tcPr>
                <w:p>
                  <w:pPr>
                    <w:pStyle w:val="12"/>
                    <w:ind w:firstLine="420"/>
                    <w:jc w:val="center"/>
                    <w:rPr>
                      <w:color w:val="auto"/>
                      <w:sz w:val="21"/>
                      <w:szCs w:val="21"/>
                    </w:rPr>
                  </w:pPr>
                </w:p>
              </w:tc>
              <w:tc>
                <w:tcPr>
                  <w:tcW w:w="867" w:type="pct"/>
                  <w:vAlign w:val="center"/>
                </w:tcPr>
                <w:p>
                  <w:pPr>
                    <w:pStyle w:val="236"/>
                    <w:rPr>
                      <w:color w:val="auto"/>
                      <w:lang w:val="en-US"/>
                    </w:rPr>
                  </w:pPr>
                  <w:r>
                    <w:rPr>
                      <w:color w:val="auto"/>
                    </w:rPr>
                    <w:t>1</w:t>
                  </w:r>
                  <w:r>
                    <w:rPr>
                      <w:color w:val="auto"/>
                      <w:lang w:val="en-US"/>
                    </w:rPr>
                    <w:t>4</w:t>
                  </w:r>
                  <w:r>
                    <w:rPr>
                      <w:color w:val="auto"/>
                    </w:rPr>
                    <w:t>#居民区</w:t>
                  </w:r>
                </w:p>
              </w:tc>
              <w:tc>
                <w:tcPr>
                  <w:tcW w:w="1549" w:type="pct"/>
                  <w:vAlign w:val="center"/>
                </w:tcPr>
                <w:p>
                  <w:pPr>
                    <w:pStyle w:val="236"/>
                    <w:rPr>
                      <w:color w:val="auto"/>
                      <w:kern w:val="0"/>
                    </w:rPr>
                  </w:pPr>
                  <w:r>
                    <w:rPr>
                      <w:color w:val="auto"/>
                      <w:kern w:val="0"/>
                      <w:lang w:val="en-US"/>
                    </w:rPr>
                    <w:t>东经</w:t>
                  </w:r>
                  <w:r>
                    <w:rPr>
                      <w:color w:val="auto"/>
                      <w:kern w:val="0"/>
                    </w:rPr>
                    <w:t>105.811327</w:t>
                  </w:r>
                </w:p>
                <w:p>
                  <w:pPr>
                    <w:pStyle w:val="236"/>
                    <w:rPr>
                      <w:color w:val="auto"/>
                      <w:lang w:val="en-US"/>
                    </w:rPr>
                  </w:pPr>
                  <w:r>
                    <w:rPr>
                      <w:color w:val="auto"/>
                      <w:kern w:val="0"/>
                    </w:rPr>
                    <w:t>北纬32.61428</w:t>
                  </w:r>
                  <w:r>
                    <w:rPr>
                      <w:color w:val="auto"/>
                      <w:kern w:val="0"/>
                      <w:lang w:val="en-US"/>
                    </w:rPr>
                    <w:t>9</w:t>
                  </w:r>
                </w:p>
              </w:tc>
              <w:tc>
                <w:tcPr>
                  <w:tcW w:w="709" w:type="pct"/>
                  <w:vAlign w:val="center"/>
                </w:tcPr>
                <w:p>
                  <w:pPr>
                    <w:pStyle w:val="236"/>
                    <w:rPr>
                      <w:color w:val="auto"/>
                      <w:kern w:val="0"/>
                      <w:lang w:val="en-US"/>
                    </w:rPr>
                  </w:pPr>
                  <w:r>
                    <w:rPr>
                      <w:color w:val="auto"/>
                      <w:kern w:val="0"/>
                      <w:lang w:val="en-US"/>
                    </w:rPr>
                    <w:t>180～200</w:t>
                  </w:r>
                </w:p>
              </w:tc>
              <w:tc>
                <w:tcPr>
                  <w:tcW w:w="732" w:type="pct"/>
                  <w:vMerge w:val="continue"/>
                  <w:vAlign w:val="center"/>
                </w:tcPr>
                <w:p>
                  <w:pPr>
                    <w:pStyle w:val="236"/>
                    <w:rPr>
                      <w:color w:val="auto"/>
                      <w:lang w:val="en-US"/>
                    </w:rPr>
                  </w:pPr>
                </w:p>
              </w:tc>
              <w:tc>
                <w:tcPr>
                  <w:tcW w:w="840" w:type="pct"/>
                  <w:vAlign w:val="center"/>
                </w:tcPr>
                <w:p>
                  <w:pPr>
                    <w:pStyle w:val="236"/>
                    <w:rPr>
                      <w:color w:val="auto"/>
                      <w:lang w:val="en-US"/>
                    </w:rPr>
                  </w:pPr>
                  <w:r>
                    <w:rPr>
                      <w:color w:val="auto"/>
                      <w:lang w:val="en-US"/>
                    </w:rPr>
                    <w:t>居民/10户</w:t>
                  </w:r>
                </w:p>
              </w:tc>
            </w:tr>
          </w:tbl>
          <w:p>
            <w:pPr>
              <w:spacing w:line="360" w:lineRule="auto"/>
              <w:rPr>
                <w:b/>
                <w:bCs/>
                <w:color w:val="auto"/>
                <w:sz w:val="24"/>
              </w:rPr>
            </w:pPr>
            <w:r>
              <w:rPr>
                <w:b/>
                <w:bCs/>
                <w:color w:val="auto"/>
                <w:sz w:val="24"/>
              </w:rPr>
              <w:t>3、地下水环境</w:t>
            </w:r>
          </w:p>
          <w:p>
            <w:pPr>
              <w:widowControl/>
              <w:spacing w:line="360" w:lineRule="auto"/>
              <w:ind w:firstLine="480" w:firstLineChars="200"/>
              <w:jc w:val="left"/>
              <w:rPr>
                <w:color w:val="auto"/>
                <w:sz w:val="24"/>
              </w:rPr>
            </w:pPr>
            <w:r>
              <w:rPr>
                <w:color w:val="auto"/>
                <w:sz w:val="24"/>
              </w:rPr>
              <w:t>根据外环境关系调查结果可知，本项目厂界外500m范围内无地下水集中式饮用水水源和热水、矿泉水、温泉等特殊地下水资源环境保护目标存在</w:t>
            </w:r>
            <w:r>
              <w:rPr>
                <w:color w:val="auto"/>
                <w:kern w:val="0"/>
                <w:sz w:val="24"/>
                <w:lang w:bidi="ar"/>
              </w:rPr>
              <w:t>。</w:t>
            </w:r>
          </w:p>
          <w:p>
            <w:pPr>
              <w:spacing w:line="360" w:lineRule="auto"/>
              <w:rPr>
                <w:b/>
                <w:bCs/>
                <w:color w:val="auto"/>
                <w:sz w:val="24"/>
              </w:rPr>
            </w:pPr>
            <w:r>
              <w:rPr>
                <w:b/>
                <w:bCs/>
                <w:color w:val="auto"/>
                <w:sz w:val="24"/>
              </w:rPr>
              <w:t>4、生态环境</w:t>
            </w:r>
          </w:p>
          <w:p>
            <w:pPr>
              <w:widowControl/>
              <w:spacing w:line="360" w:lineRule="auto"/>
              <w:ind w:firstLine="480" w:firstLineChars="200"/>
              <w:jc w:val="left"/>
              <w:rPr>
                <w:color w:val="auto"/>
                <w:sz w:val="24"/>
              </w:rPr>
            </w:pPr>
            <w:r>
              <w:rPr>
                <w:color w:val="auto"/>
                <w:sz w:val="24"/>
              </w:rPr>
              <w:t>经调查，本项目生态评价范围内无重点保护文物等特殊环境保护目标，不涉及饮用水源地保护区，不涉及鱼类“三场”。根据项目排污特点和外环境现状特征，本项目主要保护对象为项目施工活动区域及周边生态评价范围可能受到影响的陆生、水生生态环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73" w:type="dxa"/>
            <w:vAlign w:val="center"/>
          </w:tcPr>
          <w:p>
            <w:pPr>
              <w:adjustRightInd w:val="0"/>
              <w:snapToGrid w:val="0"/>
              <w:jc w:val="center"/>
              <w:rPr>
                <w:color w:val="auto"/>
                <w:kern w:val="0"/>
                <w:sz w:val="24"/>
              </w:rPr>
            </w:pPr>
            <w:r>
              <w:rPr>
                <w:color w:val="auto"/>
                <w:kern w:val="0"/>
                <w:sz w:val="24"/>
              </w:rPr>
              <w:t>评价</w:t>
            </w:r>
          </w:p>
          <w:p>
            <w:pPr>
              <w:adjustRightInd w:val="0"/>
              <w:snapToGrid w:val="0"/>
              <w:jc w:val="center"/>
              <w:rPr>
                <w:color w:val="auto"/>
                <w:kern w:val="0"/>
                <w:szCs w:val="21"/>
              </w:rPr>
            </w:pPr>
            <w:r>
              <w:rPr>
                <w:color w:val="auto"/>
                <w:kern w:val="0"/>
                <w:sz w:val="24"/>
              </w:rPr>
              <w:t>标准</w:t>
            </w:r>
          </w:p>
        </w:tc>
        <w:tc>
          <w:tcPr>
            <w:tcW w:w="8684" w:type="dxa"/>
            <w:vAlign w:val="center"/>
          </w:tcPr>
          <w:p>
            <w:pPr>
              <w:spacing w:line="360" w:lineRule="auto"/>
              <w:rPr>
                <w:b/>
                <w:bCs/>
                <w:color w:val="auto"/>
                <w:sz w:val="24"/>
              </w:rPr>
            </w:pPr>
            <w:r>
              <w:rPr>
                <w:b/>
                <w:bCs/>
                <w:color w:val="auto"/>
                <w:sz w:val="24"/>
              </w:rPr>
              <w:t>一、环境质量标准</w:t>
            </w:r>
          </w:p>
          <w:p>
            <w:pPr>
              <w:spacing w:line="360" w:lineRule="auto"/>
              <w:ind w:firstLine="482" w:firstLineChars="200"/>
              <w:rPr>
                <w:b/>
                <w:bCs/>
                <w:color w:val="auto"/>
                <w:sz w:val="24"/>
              </w:rPr>
            </w:pPr>
            <w:r>
              <w:rPr>
                <w:b/>
                <w:bCs/>
                <w:color w:val="auto"/>
                <w:sz w:val="24"/>
              </w:rPr>
              <w:t>1、环境空气</w:t>
            </w:r>
          </w:p>
          <w:p>
            <w:pPr>
              <w:spacing w:line="360" w:lineRule="auto"/>
              <w:ind w:firstLine="480" w:firstLineChars="200"/>
              <w:rPr>
                <w:color w:val="auto"/>
                <w:sz w:val="24"/>
              </w:rPr>
            </w:pPr>
            <w:r>
              <w:rPr>
                <w:color w:val="auto"/>
                <w:sz w:val="24"/>
              </w:rPr>
              <w:t>环境空气质量执行《环境空气质量标准》(GB3095-2012)中二级标准要求。</w:t>
            </w:r>
          </w:p>
          <w:p>
            <w:pPr>
              <w:widowControl/>
              <w:numPr>
                <w:ilvl w:val="0"/>
                <w:numId w:val="8"/>
              </w:numPr>
              <w:adjustRightInd w:val="0"/>
              <w:snapToGrid w:val="0"/>
              <w:jc w:val="center"/>
              <w:rPr>
                <w:b/>
                <w:color w:val="auto"/>
                <w:szCs w:val="18"/>
              </w:rPr>
            </w:pPr>
            <w:r>
              <w:rPr>
                <w:b/>
                <w:color w:val="auto"/>
                <w:szCs w:val="18"/>
              </w:rPr>
              <w:t>环境空气质量标准  单位μg/m</w:t>
            </w:r>
            <w:r>
              <w:rPr>
                <w:b/>
                <w:color w:val="auto"/>
                <w:szCs w:val="18"/>
                <w:vertAlign w:val="superscript"/>
              </w:rPr>
              <w:t>3</w:t>
            </w:r>
            <w:r>
              <w:rPr>
                <w:b/>
                <w:color w:val="auto"/>
                <w:szCs w:val="18"/>
              </w:rPr>
              <w:t>，CO为mg/m</w:t>
            </w:r>
            <w:r>
              <w:rPr>
                <w:b/>
                <w:color w:val="auto"/>
                <w:szCs w:val="18"/>
                <w:vertAlign w:val="superscript"/>
              </w:rPr>
              <w:t>3</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2077"/>
              <w:gridCol w:w="1874"/>
              <w:gridCol w:w="32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733" w:type="pct"/>
                  <w:vAlign w:val="center"/>
                </w:tcPr>
                <w:p>
                  <w:pPr>
                    <w:pStyle w:val="54"/>
                    <w:spacing w:line="240" w:lineRule="auto"/>
                    <w:rPr>
                      <w:b/>
                      <w:color w:val="auto"/>
                    </w:rPr>
                  </w:pPr>
                  <w:r>
                    <w:rPr>
                      <w:b/>
                      <w:color w:val="auto"/>
                    </w:rPr>
                    <w:t>评价因子</w:t>
                  </w:r>
                </w:p>
              </w:tc>
              <w:tc>
                <w:tcPr>
                  <w:tcW w:w="1226" w:type="pct"/>
                  <w:vAlign w:val="center"/>
                </w:tcPr>
                <w:p>
                  <w:pPr>
                    <w:pStyle w:val="54"/>
                    <w:spacing w:line="240" w:lineRule="auto"/>
                    <w:rPr>
                      <w:b/>
                      <w:color w:val="auto"/>
                    </w:rPr>
                  </w:pPr>
                  <w:r>
                    <w:rPr>
                      <w:b/>
                      <w:color w:val="auto"/>
                    </w:rPr>
                    <w:t>平均时段</w:t>
                  </w:r>
                </w:p>
              </w:tc>
              <w:tc>
                <w:tcPr>
                  <w:tcW w:w="1106" w:type="pct"/>
                  <w:vAlign w:val="center"/>
                </w:tcPr>
                <w:p>
                  <w:pPr>
                    <w:kinsoku w:val="0"/>
                    <w:overflowPunct w:val="0"/>
                    <w:autoSpaceDE w:val="0"/>
                    <w:autoSpaceDN w:val="0"/>
                    <w:adjustRightInd w:val="0"/>
                    <w:snapToGrid w:val="0"/>
                    <w:jc w:val="center"/>
                    <w:rPr>
                      <w:b/>
                      <w:bCs/>
                      <w:color w:val="auto"/>
                      <w:szCs w:val="21"/>
                    </w:rPr>
                  </w:pPr>
                  <w:r>
                    <w:rPr>
                      <w:b/>
                      <w:color w:val="auto"/>
                      <w:szCs w:val="21"/>
                    </w:rPr>
                    <w:t>标准限值</w:t>
                  </w:r>
                  <w:r>
                    <w:rPr>
                      <w:b/>
                      <w:bCs/>
                      <w:color w:val="auto"/>
                      <w:szCs w:val="21"/>
                    </w:rPr>
                    <w:t>(μg/m</w:t>
                  </w:r>
                  <w:r>
                    <w:rPr>
                      <w:b/>
                      <w:bCs/>
                      <w:color w:val="auto"/>
                      <w:szCs w:val="21"/>
                      <w:vertAlign w:val="superscript"/>
                    </w:rPr>
                    <w:t>3</w:t>
                  </w:r>
                  <w:r>
                    <w:rPr>
                      <w:b/>
                      <w:bCs/>
                      <w:color w:val="auto"/>
                      <w:szCs w:val="21"/>
                    </w:rPr>
                    <w:t>)</w:t>
                  </w:r>
                </w:p>
              </w:tc>
              <w:tc>
                <w:tcPr>
                  <w:tcW w:w="1934" w:type="pct"/>
                  <w:vAlign w:val="center"/>
                </w:tcPr>
                <w:p>
                  <w:pPr>
                    <w:kinsoku w:val="0"/>
                    <w:overflowPunct w:val="0"/>
                    <w:autoSpaceDE w:val="0"/>
                    <w:autoSpaceDN w:val="0"/>
                    <w:adjustRightInd w:val="0"/>
                    <w:snapToGrid w:val="0"/>
                    <w:jc w:val="center"/>
                    <w:rPr>
                      <w:b/>
                      <w:bCs/>
                      <w:color w:val="auto"/>
                      <w:szCs w:val="21"/>
                    </w:rPr>
                  </w:pPr>
                  <w:r>
                    <w:rPr>
                      <w:b/>
                      <w:bCs/>
                      <w:color w:val="auto"/>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733" w:type="pct"/>
                  <w:vAlign w:val="center"/>
                </w:tcPr>
                <w:p>
                  <w:pPr>
                    <w:pStyle w:val="54"/>
                    <w:spacing w:line="240" w:lineRule="auto"/>
                    <w:rPr>
                      <w:color w:val="auto"/>
                    </w:rPr>
                  </w:pPr>
                  <w:r>
                    <w:rPr>
                      <w:color w:val="auto"/>
                    </w:rPr>
                    <w:t>SO</w:t>
                  </w:r>
                  <w:r>
                    <w:rPr>
                      <w:color w:val="auto"/>
                      <w:vertAlign w:val="subscript"/>
                    </w:rPr>
                    <w:t>2</w:t>
                  </w:r>
                </w:p>
              </w:tc>
              <w:tc>
                <w:tcPr>
                  <w:tcW w:w="1226" w:type="pct"/>
                  <w:vAlign w:val="center"/>
                </w:tcPr>
                <w:p>
                  <w:pPr>
                    <w:pStyle w:val="54"/>
                    <w:spacing w:line="240" w:lineRule="auto"/>
                    <w:rPr>
                      <w:color w:val="auto"/>
                    </w:rPr>
                  </w:pPr>
                  <w:r>
                    <w:rPr>
                      <w:color w:val="auto"/>
                    </w:rPr>
                    <w:t>1小时平均</w:t>
                  </w:r>
                </w:p>
              </w:tc>
              <w:tc>
                <w:tcPr>
                  <w:tcW w:w="1106" w:type="pct"/>
                  <w:vAlign w:val="center"/>
                </w:tcPr>
                <w:p>
                  <w:pPr>
                    <w:pStyle w:val="54"/>
                    <w:spacing w:line="240" w:lineRule="auto"/>
                    <w:rPr>
                      <w:color w:val="auto"/>
                    </w:rPr>
                  </w:pPr>
                  <w:r>
                    <w:rPr>
                      <w:color w:val="auto"/>
                    </w:rPr>
                    <w:t>500</w:t>
                  </w:r>
                </w:p>
              </w:tc>
              <w:tc>
                <w:tcPr>
                  <w:tcW w:w="1934" w:type="pct"/>
                  <w:vMerge w:val="restart"/>
                  <w:vAlign w:val="center"/>
                </w:tcPr>
                <w:p>
                  <w:pPr>
                    <w:pStyle w:val="54"/>
                    <w:spacing w:line="240" w:lineRule="auto"/>
                    <w:rPr>
                      <w:color w:val="auto"/>
                    </w:rPr>
                  </w:pPr>
                  <w:r>
                    <w:rPr>
                      <w:color w:val="auto"/>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733" w:type="pct"/>
                  <w:vAlign w:val="center"/>
                </w:tcPr>
                <w:p>
                  <w:pPr>
                    <w:pStyle w:val="54"/>
                    <w:spacing w:line="240" w:lineRule="auto"/>
                    <w:rPr>
                      <w:color w:val="auto"/>
                    </w:rPr>
                  </w:pPr>
                  <w:r>
                    <w:rPr>
                      <w:color w:val="auto"/>
                    </w:rPr>
                    <w:t>NO</w:t>
                  </w:r>
                  <w:r>
                    <w:rPr>
                      <w:color w:val="auto"/>
                      <w:vertAlign w:val="subscript"/>
                    </w:rPr>
                    <w:t>2</w:t>
                  </w:r>
                </w:p>
              </w:tc>
              <w:tc>
                <w:tcPr>
                  <w:tcW w:w="1226" w:type="pct"/>
                  <w:vAlign w:val="center"/>
                </w:tcPr>
                <w:p>
                  <w:pPr>
                    <w:pStyle w:val="54"/>
                    <w:spacing w:line="240" w:lineRule="auto"/>
                    <w:rPr>
                      <w:color w:val="auto"/>
                    </w:rPr>
                  </w:pPr>
                  <w:r>
                    <w:rPr>
                      <w:color w:val="auto"/>
                    </w:rPr>
                    <w:t>1小时平均</w:t>
                  </w:r>
                </w:p>
              </w:tc>
              <w:tc>
                <w:tcPr>
                  <w:tcW w:w="1106" w:type="pct"/>
                  <w:vAlign w:val="center"/>
                </w:tcPr>
                <w:p>
                  <w:pPr>
                    <w:pStyle w:val="54"/>
                    <w:spacing w:line="240" w:lineRule="auto"/>
                    <w:rPr>
                      <w:color w:val="auto"/>
                    </w:rPr>
                  </w:pPr>
                  <w:r>
                    <w:rPr>
                      <w:color w:val="auto"/>
                    </w:rPr>
                    <w:t>200</w:t>
                  </w:r>
                </w:p>
              </w:tc>
              <w:tc>
                <w:tcPr>
                  <w:tcW w:w="1934" w:type="pct"/>
                  <w:vMerge w:val="continue"/>
                  <w:vAlign w:val="center"/>
                </w:tcPr>
                <w:p>
                  <w:pPr>
                    <w:pStyle w:val="54"/>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733" w:type="pct"/>
                  <w:vAlign w:val="center"/>
                </w:tcPr>
                <w:p>
                  <w:pPr>
                    <w:pStyle w:val="54"/>
                    <w:spacing w:line="240" w:lineRule="auto"/>
                    <w:rPr>
                      <w:color w:val="auto"/>
                    </w:rPr>
                  </w:pPr>
                  <w:r>
                    <w:rPr>
                      <w:color w:val="auto"/>
                    </w:rPr>
                    <w:t>PM</w:t>
                  </w:r>
                  <w:r>
                    <w:rPr>
                      <w:color w:val="auto"/>
                      <w:vertAlign w:val="subscript"/>
                    </w:rPr>
                    <w:t>10</w:t>
                  </w:r>
                </w:p>
              </w:tc>
              <w:tc>
                <w:tcPr>
                  <w:tcW w:w="1226" w:type="pct"/>
                  <w:vAlign w:val="center"/>
                </w:tcPr>
                <w:p>
                  <w:pPr>
                    <w:pStyle w:val="54"/>
                    <w:spacing w:line="240" w:lineRule="auto"/>
                    <w:rPr>
                      <w:color w:val="auto"/>
                    </w:rPr>
                  </w:pPr>
                  <w:r>
                    <w:rPr>
                      <w:color w:val="auto"/>
                    </w:rPr>
                    <w:t>24小时平均</w:t>
                  </w:r>
                </w:p>
              </w:tc>
              <w:tc>
                <w:tcPr>
                  <w:tcW w:w="1106" w:type="pct"/>
                  <w:vAlign w:val="center"/>
                </w:tcPr>
                <w:p>
                  <w:pPr>
                    <w:pStyle w:val="54"/>
                    <w:spacing w:line="240" w:lineRule="auto"/>
                    <w:rPr>
                      <w:color w:val="auto"/>
                    </w:rPr>
                  </w:pPr>
                  <w:r>
                    <w:rPr>
                      <w:color w:val="auto"/>
                    </w:rPr>
                    <w:t>150</w:t>
                  </w:r>
                </w:p>
              </w:tc>
              <w:tc>
                <w:tcPr>
                  <w:tcW w:w="1934" w:type="pct"/>
                  <w:vMerge w:val="continue"/>
                  <w:vAlign w:val="center"/>
                </w:tcPr>
                <w:p>
                  <w:pPr>
                    <w:pStyle w:val="54"/>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733" w:type="pct"/>
                  <w:vAlign w:val="center"/>
                </w:tcPr>
                <w:p>
                  <w:pPr>
                    <w:pStyle w:val="54"/>
                    <w:spacing w:line="240" w:lineRule="auto"/>
                    <w:rPr>
                      <w:color w:val="auto"/>
                    </w:rPr>
                  </w:pPr>
                  <w:r>
                    <w:rPr>
                      <w:color w:val="auto"/>
                    </w:rPr>
                    <w:t>PM</w:t>
                  </w:r>
                  <w:r>
                    <w:rPr>
                      <w:color w:val="auto"/>
                      <w:vertAlign w:val="subscript"/>
                    </w:rPr>
                    <w:t>2.5</w:t>
                  </w:r>
                </w:p>
              </w:tc>
              <w:tc>
                <w:tcPr>
                  <w:tcW w:w="1226" w:type="pct"/>
                  <w:vAlign w:val="center"/>
                </w:tcPr>
                <w:p>
                  <w:pPr>
                    <w:pStyle w:val="54"/>
                    <w:spacing w:line="240" w:lineRule="auto"/>
                    <w:rPr>
                      <w:color w:val="auto"/>
                    </w:rPr>
                  </w:pPr>
                  <w:r>
                    <w:rPr>
                      <w:color w:val="auto"/>
                    </w:rPr>
                    <w:t>24小时平均</w:t>
                  </w:r>
                </w:p>
              </w:tc>
              <w:tc>
                <w:tcPr>
                  <w:tcW w:w="1106" w:type="pct"/>
                  <w:vAlign w:val="center"/>
                </w:tcPr>
                <w:p>
                  <w:pPr>
                    <w:pStyle w:val="54"/>
                    <w:spacing w:line="240" w:lineRule="auto"/>
                    <w:rPr>
                      <w:color w:val="auto"/>
                    </w:rPr>
                  </w:pPr>
                  <w:r>
                    <w:rPr>
                      <w:color w:val="auto"/>
                    </w:rPr>
                    <w:t>75</w:t>
                  </w:r>
                </w:p>
              </w:tc>
              <w:tc>
                <w:tcPr>
                  <w:tcW w:w="1934" w:type="pct"/>
                  <w:vMerge w:val="continue"/>
                  <w:vAlign w:val="center"/>
                </w:tcPr>
                <w:p>
                  <w:pPr>
                    <w:pStyle w:val="54"/>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733" w:type="pct"/>
                  <w:vAlign w:val="center"/>
                </w:tcPr>
                <w:p>
                  <w:pPr>
                    <w:pStyle w:val="54"/>
                    <w:spacing w:line="240" w:lineRule="auto"/>
                    <w:rPr>
                      <w:color w:val="auto"/>
                    </w:rPr>
                  </w:pPr>
                  <w:r>
                    <w:rPr>
                      <w:color w:val="auto"/>
                    </w:rPr>
                    <w:t>O</w:t>
                  </w:r>
                  <w:r>
                    <w:rPr>
                      <w:color w:val="auto"/>
                      <w:vertAlign w:val="subscript"/>
                    </w:rPr>
                    <w:t>3</w:t>
                  </w:r>
                </w:p>
              </w:tc>
              <w:tc>
                <w:tcPr>
                  <w:tcW w:w="1226" w:type="pct"/>
                  <w:vAlign w:val="center"/>
                </w:tcPr>
                <w:p>
                  <w:pPr>
                    <w:pStyle w:val="54"/>
                    <w:spacing w:line="240" w:lineRule="auto"/>
                    <w:rPr>
                      <w:color w:val="auto"/>
                    </w:rPr>
                  </w:pPr>
                  <w:r>
                    <w:rPr>
                      <w:color w:val="auto"/>
                    </w:rPr>
                    <w:t>日最大8小时平均</w:t>
                  </w:r>
                </w:p>
              </w:tc>
              <w:tc>
                <w:tcPr>
                  <w:tcW w:w="1106" w:type="pct"/>
                  <w:vAlign w:val="center"/>
                </w:tcPr>
                <w:p>
                  <w:pPr>
                    <w:pStyle w:val="54"/>
                    <w:spacing w:line="240" w:lineRule="auto"/>
                    <w:rPr>
                      <w:color w:val="auto"/>
                    </w:rPr>
                  </w:pPr>
                  <w:r>
                    <w:rPr>
                      <w:color w:val="auto"/>
                    </w:rPr>
                    <w:t>160</w:t>
                  </w:r>
                </w:p>
              </w:tc>
              <w:tc>
                <w:tcPr>
                  <w:tcW w:w="1934" w:type="pct"/>
                  <w:vMerge w:val="continue"/>
                  <w:vAlign w:val="center"/>
                </w:tcPr>
                <w:p>
                  <w:pPr>
                    <w:pStyle w:val="54"/>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33" w:type="pct"/>
                  <w:vAlign w:val="center"/>
                </w:tcPr>
                <w:p>
                  <w:pPr>
                    <w:pStyle w:val="54"/>
                    <w:spacing w:line="240" w:lineRule="auto"/>
                    <w:rPr>
                      <w:color w:val="auto"/>
                    </w:rPr>
                  </w:pPr>
                  <w:r>
                    <w:rPr>
                      <w:color w:val="auto"/>
                    </w:rPr>
                    <w:t>CO</w:t>
                  </w:r>
                </w:p>
              </w:tc>
              <w:tc>
                <w:tcPr>
                  <w:tcW w:w="1226" w:type="pct"/>
                  <w:vAlign w:val="center"/>
                </w:tcPr>
                <w:p>
                  <w:pPr>
                    <w:pStyle w:val="54"/>
                    <w:spacing w:line="240" w:lineRule="auto"/>
                    <w:rPr>
                      <w:color w:val="auto"/>
                    </w:rPr>
                  </w:pPr>
                  <w:r>
                    <w:rPr>
                      <w:color w:val="auto"/>
                    </w:rPr>
                    <w:t>24小时平均</w:t>
                  </w:r>
                </w:p>
              </w:tc>
              <w:tc>
                <w:tcPr>
                  <w:tcW w:w="1106" w:type="pct"/>
                  <w:vAlign w:val="center"/>
                </w:tcPr>
                <w:p>
                  <w:pPr>
                    <w:pStyle w:val="54"/>
                    <w:spacing w:line="240" w:lineRule="auto"/>
                    <w:rPr>
                      <w:color w:val="auto"/>
                    </w:rPr>
                  </w:pPr>
                  <w:r>
                    <w:rPr>
                      <w:color w:val="auto"/>
                    </w:rPr>
                    <w:t>4000</w:t>
                  </w:r>
                </w:p>
              </w:tc>
              <w:tc>
                <w:tcPr>
                  <w:tcW w:w="1934" w:type="pct"/>
                  <w:vMerge w:val="continue"/>
                  <w:vAlign w:val="center"/>
                </w:tcPr>
                <w:p>
                  <w:pPr>
                    <w:pStyle w:val="54"/>
                    <w:spacing w:line="240" w:lineRule="auto"/>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33" w:type="pct"/>
                  <w:vAlign w:val="center"/>
                </w:tcPr>
                <w:p>
                  <w:pPr>
                    <w:pStyle w:val="54"/>
                    <w:spacing w:line="240" w:lineRule="auto"/>
                    <w:rPr>
                      <w:color w:val="auto"/>
                    </w:rPr>
                  </w:pPr>
                  <w:r>
                    <w:rPr>
                      <w:color w:val="auto"/>
                    </w:rPr>
                    <w:t>TSP</w:t>
                  </w:r>
                </w:p>
              </w:tc>
              <w:tc>
                <w:tcPr>
                  <w:tcW w:w="1226" w:type="pct"/>
                  <w:vAlign w:val="center"/>
                </w:tcPr>
                <w:p>
                  <w:pPr>
                    <w:pStyle w:val="54"/>
                    <w:spacing w:line="240" w:lineRule="auto"/>
                    <w:rPr>
                      <w:color w:val="auto"/>
                    </w:rPr>
                  </w:pPr>
                  <w:r>
                    <w:rPr>
                      <w:color w:val="auto"/>
                    </w:rPr>
                    <w:t>24小时平均</w:t>
                  </w:r>
                </w:p>
              </w:tc>
              <w:tc>
                <w:tcPr>
                  <w:tcW w:w="1106" w:type="pct"/>
                  <w:vAlign w:val="center"/>
                </w:tcPr>
                <w:p>
                  <w:pPr>
                    <w:pStyle w:val="54"/>
                    <w:spacing w:line="240" w:lineRule="auto"/>
                    <w:rPr>
                      <w:color w:val="auto"/>
                    </w:rPr>
                  </w:pPr>
                  <w:r>
                    <w:rPr>
                      <w:color w:val="auto"/>
                    </w:rPr>
                    <w:t>300</w:t>
                  </w:r>
                </w:p>
              </w:tc>
              <w:tc>
                <w:tcPr>
                  <w:tcW w:w="1934" w:type="pct"/>
                  <w:vMerge w:val="continue"/>
                  <w:vAlign w:val="center"/>
                </w:tcPr>
                <w:p>
                  <w:pPr>
                    <w:pStyle w:val="54"/>
                    <w:spacing w:line="240" w:lineRule="auto"/>
                    <w:rPr>
                      <w:color w:val="auto"/>
                    </w:rPr>
                  </w:pPr>
                </w:p>
              </w:tc>
            </w:tr>
          </w:tbl>
          <w:p>
            <w:pPr>
              <w:spacing w:line="360" w:lineRule="auto"/>
              <w:ind w:firstLine="482" w:firstLineChars="200"/>
              <w:rPr>
                <w:b/>
                <w:bCs/>
                <w:color w:val="auto"/>
                <w:sz w:val="24"/>
              </w:rPr>
            </w:pPr>
            <w:r>
              <w:rPr>
                <w:b/>
                <w:bCs/>
                <w:color w:val="auto"/>
                <w:sz w:val="24"/>
              </w:rPr>
              <w:t>2、地表水环境</w:t>
            </w:r>
          </w:p>
          <w:p>
            <w:pPr>
              <w:spacing w:line="360" w:lineRule="auto"/>
              <w:ind w:firstLine="480" w:firstLineChars="200"/>
              <w:rPr>
                <w:color w:val="auto"/>
                <w:sz w:val="24"/>
              </w:rPr>
            </w:pPr>
            <w:r>
              <w:rPr>
                <w:color w:val="auto"/>
                <w:sz w:val="24"/>
              </w:rPr>
              <w:t>地表水环境质量执行《地表水环境质量标准》(GB3838-2002)中III类水域标准。</w:t>
            </w:r>
          </w:p>
          <w:p>
            <w:pPr>
              <w:widowControl/>
              <w:numPr>
                <w:ilvl w:val="0"/>
                <w:numId w:val="8"/>
              </w:numPr>
              <w:adjustRightInd w:val="0"/>
              <w:snapToGrid w:val="0"/>
              <w:jc w:val="center"/>
              <w:rPr>
                <w:b/>
                <w:color w:val="auto"/>
                <w:szCs w:val="18"/>
              </w:rPr>
            </w:pPr>
            <w:r>
              <w:rPr>
                <w:b/>
                <w:color w:val="auto"/>
                <w:szCs w:val="18"/>
              </w:rPr>
              <w:t>地表水环境质量标准</w:t>
            </w:r>
          </w:p>
          <w:tbl>
            <w:tblPr>
              <w:tblStyle w:val="36"/>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20"/>
              <w:gridCol w:w="2864"/>
              <w:gridCol w:w="26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b/>
                      <w:color w:val="auto"/>
                      <w:szCs w:val="21"/>
                    </w:rPr>
                  </w:pPr>
                  <w:r>
                    <w:rPr>
                      <w:b/>
                      <w:color w:val="auto"/>
                      <w:szCs w:val="21"/>
                    </w:rPr>
                    <w:t>项目</w:t>
                  </w:r>
                </w:p>
              </w:tc>
              <w:tc>
                <w:tcPr>
                  <w:tcW w:w="1691" w:type="pct"/>
                  <w:shd w:val="clear" w:color="auto" w:fill="auto"/>
                  <w:vAlign w:val="center"/>
                </w:tcPr>
                <w:p>
                  <w:pPr>
                    <w:adjustRightInd w:val="0"/>
                    <w:snapToGrid w:val="0"/>
                    <w:jc w:val="center"/>
                    <w:rPr>
                      <w:b/>
                      <w:color w:val="auto"/>
                      <w:szCs w:val="21"/>
                    </w:rPr>
                  </w:pPr>
                  <w:r>
                    <w:rPr>
                      <w:b/>
                      <w:color w:val="auto"/>
                      <w:szCs w:val="21"/>
                    </w:rPr>
                    <w:t>单位</w:t>
                  </w:r>
                </w:p>
              </w:tc>
              <w:tc>
                <w:tcPr>
                  <w:tcW w:w="1585" w:type="pct"/>
                  <w:shd w:val="clear" w:color="auto" w:fill="auto"/>
                  <w:vAlign w:val="center"/>
                </w:tcPr>
                <w:p>
                  <w:pPr>
                    <w:adjustRightInd w:val="0"/>
                    <w:snapToGrid w:val="0"/>
                    <w:jc w:val="center"/>
                    <w:rPr>
                      <w:color w:val="auto"/>
                      <w:szCs w:val="21"/>
                    </w:rPr>
                  </w:pPr>
                  <w:r>
                    <w:rPr>
                      <w:b/>
                      <w:bCs/>
                      <w:color w:val="auto"/>
                      <w:szCs w:val="21"/>
                    </w:rPr>
                    <w:t>III类水质标准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b/>
                      <w:color w:val="auto"/>
                      <w:szCs w:val="21"/>
                    </w:rPr>
                  </w:pPr>
                  <w:r>
                    <w:rPr>
                      <w:color w:val="auto"/>
                      <w:szCs w:val="21"/>
                    </w:rPr>
                    <w:t>pH</w:t>
                  </w:r>
                </w:p>
              </w:tc>
              <w:tc>
                <w:tcPr>
                  <w:tcW w:w="1691" w:type="pct"/>
                  <w:shd w:val="clear" w:color="auto" w:fill="auto"/>
                  <w:vAlign w:val="center"/>
                </w:tcPr>
                <w:p>
                  <w:pPr>
                    <w:adjustRightInd w:val="0"/>
                    <w:snapToGrid w:val="0"/>
                    <w:jc w:val="center"/>
                    <w:rPr>
                      <w:b/>
                      <w:color w:val="auto"/>
                      <w:szCs w:val="21"/>
                    </w:rPr>
                  </w:pPr>
                  <w:r>
                    <w:rPr>
                      <w:color w:val="auto"/>
                      <w:szCs w:val="21"/>
                    </w:rPr>
                    <w:t>无量纲</w:t>
                  </w:r>
                </w:p>
              </w:tc>
              <w:tc>
                <w:tcPr>
                  <w:tcW w:w="1585" w:type="pct"/>
                  <w:shd w:val="clear" w:color="auto" w:fill="auto"/>
                  <w:vAlign w:val="center"/>
                </w:tcPr>
                <w:p>
                  <w:pPr>
                    <w:adjustRightInd w:val="0"/>
                    <w:snapToGrid w:val="0"/>
                    <w:jc w:val="center"/>
                    <w:rPr>
                      <w:color w:val="auto"/>
                      <w:szCs w:val="21"/>
                    </w:rPr>
                  </w:pPr>
                  <w:r>
                    <w:rPr>
                      <w:color w:val="auto"/>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溶解氧</w:t>
                  </w:r>
                </w:p>
              </w:tc>
              <w:tc>
                <w:tcPr>
                  <w:tcW w:w="1691" w:type="pct"/>
                  <w:shd w:val="clear" w:color="auto" w:fill="auto"/>
                  <w:vAlign w:val="center"/>
                </w:tcPr>
                <w:p>
                  <w:pPr>
                    <w:adjustRightInd w:val="0"/>
                    <w:snapToGrid w:val="0"/>
                    <w:jc w:val="center"/>
                    <w:rPr>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b/>
                      <w:color w:val="auto"/>
                      <w:szCs w:val="21"/>
                    </w:rPr>
                  </w:pPr>
                  <w:r>
                    <w:rPr>
                      <w:color w:val="auto"/>
                      <w:szCs w:val="21"/>
                    </w:rPr>
                    <w:t>COD</w:t>
                  </w:r>
                </w:p>
              </w:tc>
              <w:tc>
                <w:tcPr>
                  <w:tcW w:w="1691" w:type="pct"/>
                  <w:shd w:val="clear" w:color="auto" w:fill="auto"/>
                  <w:vAlign w:val="center"/>
                </w:tcPr>
                <w:p>
                  <w:pPr>
                    <w:adjustRightInd w:val="0"/>
                    <w:snapToGrid w:val="0"/>
                    <w:jc w:val="center"/>
                    <w:rPr>
                      <w:b/>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b/>
                      <w:color w:val="auto"/>
                      <w:szCs w:val="21"/>
                    </w:rPr>
                  </w:pPr>
                  <w:r>
                    <w:rPr>
                      <w:color w:val="auto"/>
                      <w:szCs w:val="21"/>
                    </w:rPr>
                    <w:t>BOD</w:t>
                  </w:r>
                  <w:r>
                    <w:rPr>
                      <w:color w:val="auto"/>
                      <w:szCs w:val="21"/>
                      <w:vertAlign w:val="subscript"/>
                    </w:rPr>
                    <w:t>5</w:t>
                  </w:r>
                </w:p>
              </w:tc>
              <w:tc>
                <w:tcPr>
                  <w:tcW w:w="1691" w:type="pct"/>
                  <w:shd w:val="clear" w:color="auto" w:fill="auto"/>
                  <w:vAlign w:val="center"/>
                </w:tcPr>
                <w:p>
                  <w:pPr>
                    <w:adjustRightInd w:val="0"/>
                    <w:snapToGrid w:val="0"/>
                    <w:jc w:val="center"/>
                    <w:rPr>
                      <w:b/>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b/>
                      <w:color w:val="auto"/>
                      <w:szCs w:val="21"/>
                    </w:rPr>
                  </w:pPr>
                  <w:r>
                    <w:rPr>
                      <w:color w:val="auto"/>
                      <w:szCs w:val="21"/>
                    </w:rPr>
                    <w:t>NH</w:t>
                  </w:r>
                  <w:r>
                    <w:rPr>
                      <w:color w:val="auto"/>
                      <w:szCs w:val="21"/>
                      <w:vertAlign w:val="subscript"/>
                    </w:rPr>
                    <w:t>3</w:t>
                  </w:r>
                  <w:r>
                    <w:rPr>
                      <w:color w:val="auto"/>
                      <w:szCs w:val="21"/>
                    </w:rPr>
                    <w:t>-N</w:t>
                  </w:r>
                </w:p>
              </w:tc>
              <w:tc>
                <w:tcPr>
                  <w:tcW w:w="1691" w:type="pct"/>
                  <w:shd w:val="clear" w:color="auto" w:fill="auto"/>
                  <w:vAlign w:val="center"/>
                </w:tcPr>
                <w:p>
                  <w:pPr>
                    <w:adjustRightInd w:val="0"/>
                    <w:snapToGrid w:val="0"/>
                    <w:jc w:val="center"/>
                    <w:rPr>
                      <w:b/>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总磷</w:t>
                  </w:r>
                </w:p>
              </w:tc>
              <w:tc>
                <w:tcPr>
                  <w:tcW w:w="1691" w:type="pct"/>
                  <w:shd w:val="clear" w:color="auto" w:fill="auto"/>
                  <w:vAlign w:val="center"/>
                </w:tcPr>
                <w:p>
                  <w:pPr>
                    <w:adjustRightInd w:val="0"/>
                    <w:snapToGrid w:val="0"/>
                    <w:jc w:val="center"/>
                    <w:rPr>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砷</w:t>
                  </w:r>
                </w:p>
              </w:tc>
              <w:tc>
                <w:tcPr>
                  <w:tcW w:w="1691" w:type="pct"/>
                  <w:shd w:val="clear" w:color="auto" w:fill="auto"/>
                  <w:vAlign w:val="center"/>
                </w:tcPr>
                <w:p>
                  <w:pPr>
                    <w:adjustRightInd w:val="0"/>
                    <w:snapToGrid w:val="0"/>
                    <w:jc w:val="center"/>
                    <w:rPr>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汞</w:t>
                  </w:r>
                </w:p>
              </w:tc>
              <w:tc>
                <w:tcPr>
                  <w:tcW w:w="1691" w:type="pct"/>
                  <w:shd w:val="clear" w:color="auto" w:fill="auto"/>
                  <w:vAlign w:val="center"/>
                </w:tcPr>
                <w:p>
                  <w:pPr>
                    <w:adjustRightInd w:val="0"/>
                    <w:snapToGrid w:val="0"/>
                    <w:jc w:val="center"/>
                    <w:rPr>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≤0.0001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铅</w:t>
                  </w:r>
                </w:p>
              </w:tc>
              <w:tc>
                <w:tcPr>
                  <w:tcW w:w="1691" w:type="pct"/>
                  <w:shd w:val="clear" w:color="auto" w:fill="auto"/>
                  <w:vAlign w:val="center"/>
                </w:tcPr>
                <w:p>
                  <w:pPr>
                    <w:adjustRightInd w:val="0"/>
                    <w:snapToGrid w:val="0"/>
                    <w:jc w:val="center"/>
                    <w:rPr>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镉</w:t>
                  </w:r>
                </w:p>
              </w:tc>
              <w:tc>
                <w:tcPr>
                  <w:tcW w:w="1691" w:type="pct"/>
                  <w:shd w:val="clear" w:color="auto" w:fill="auto"/>
                  <w:vAlign w:val="center"/>
                </w:tcPr>
                <w:p>
                  <w:pPr>
                    <w:adjustRightInd w:val="0"/>
                    <w:snapToGrid w:val="0"/>
                    <w:jc w:val="center"/>
                    <w:rPr>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铬（六价）</w:t>
                  </w:r>
                </w:p>
              </w:tc>
              <w:tc>
                <w:tcPr>
                  <w:tcW w:w="1691" w:type="pct"/>
                  <w:shd w:val="clear" w:color="auto" w:fill="auto"/>
                  <w:vAlign w:val="center"/>
                </w:tcPr>
                <w:p>
                  <w:pPr>
                    <w:adjustRightInd w:val="0"/>
                    <w:snapToGrid w:val="0"/>
                    <w:jc w:val="center"/>
                    <w:rPr>
                      <w:color w:val="auto"/>
                      <w:szCs w:val="21"/>
                    </w:rPr>
                  </w:pPr>
                  <w:r>
                    <w:rPr>
                      <w:color w:val="auto"/>
                      <w:szCs w:val="21"/>
                    </w:rPr>
                    <w:t>mg/L</w:t>
                  </w:r>
                </w:p>
              </w:tc>
              <w:tc>
                <w:tcPr>
                  <w:tcW w:w="1585" w:type="pct"/>
                  <w:shd w:val="clear" w:color="auto" w:fill="auto"/>
                  <w:vAlign w:val="center"/>
                </w:tcPr>
                <w:p>
                  <w:pPr>
                    <w:adjustRightInd w:val="0"/>
                    <w:snapToGrid w:val="0"/>
                    <w:jc w:val="center"/>
                    <w:rPr>
                      <w:color w:val="auto"/>
                      <w:szCs w:val="21"/>
                    </w:rPr>
                  </w:pPr>
                  <w:r>
                    <w:rPr>
                      <w:color w:val="auto"/>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24" w:type="pct"/>
                  <w:shd w:val="clear" w:color="auto" w:fill="auto"/>
                  <w:vAlign w:val="center"/>
                </w:tcPr>
                <w:p>
                  <w:pPr>
                    <w:adjustRightInd w:val="0"/>
                    <w:snapToGrid w:val="0"/>
                    <w:jc w:val="center"/>
                    <w:rPr>
                      <w:color w:val="auto"/>
                      <w:szCs w:val="21"/>
                    </w:rPr>
                  </w:pPr>
                  <w:r>
                    <w:rPr>
                      <w:color w:val="auto"/>
                      <w:szCs w:val="21"/>
                    </w:rPr>
                    <w:t>石油类</w:t>
                  </w:r>
                </w:p>
              </w:tc>
              <w:tc>
                <w:tcPr>
                  <w:tcW w:w="2715" w:type="dxa"/>
                  <w:shd w:val="clear" w:color="auto" w:fill="auto"/>
                  <w:vAlign w:val="center"/>
                </w:tcPr>
                <w:p>
                  <w:pPr>
                    <w:adjustRightInd w:val="0"/>
                    <w:snapToGrid w:val="0"/>
                    <w:jc w:val="center"/>
                    <w:rPr>
                      <w:color w:val="auto"/>
                      <w:szCs w:val="21"/>
                    </w:rPr>
                  </w:pPr>
                  <w:r>
                    <w:rPr>
                      <w:color w:val="auto"/>
                      <w:szCs w:val="21"/>
                    </w:rPr>
                    <w:t>mg/L</w:t>
                  </w:r>
                </w:p>
              </w:tc>
              <w:tc>
                <w:tcPr>
                  <w:tcW w:w="2545" w:type="dxa"/>
                  <w:shd w:val="clear" w:color="auto" w:fill="auto"/>
                  <w:vAlign w:val="center"/>
                </w:tcPr>
                <w:p>
                  <w:pPr>
                    <w:adjustRightInd w:val="0"/>
                    <w:snapToGrid w:val="0"/>
                    <w:jc w:val="center"/>
                    <w:rPr>
                      <w:color w:val="auto"/>
                      <w:szCs w:val="21"/>
                    </w:rPr>
                  </w:pPr>
                  <w:r>
                    <w:rPr>
                      <w:color w:val="auto"/>
                      <w:szCs w:val="21"/>
                    </w:rPr>
                    <w:t>≤0.05</w:t>
                  </w:r>
                </w:p>
              </w:tc>
            </w:tr>
          </w:tbl>
          <w:p>
            <w:pPr>
              <w:spacing w:line="360" w:lineRule="auto"/>
              <w:ind w:firstLine="482" w:firstLineChars="200"/>
              <w:rPr>
                <w:b/>
                <w:bCs/>
                <w:color w:val="auto"/>
                <w:sz w:val="24"/>
              </w:rPr>
            </w:pPr>
            <w:r>
              <w:rPr>
                <w:b/>
                <w:bCs/>
                <w:color w:val="auto"/>
                <w:sz w:val="24"/>
              </w:rPr>
              <w:t>3、声环境</w:t>
            </w:r>
          </w:p>
          <w:p>
            <w:pPr>
              <w:spacing w:line="360" w:lineRule="auto"/>
              <w:ind w:firstLine="480" w:firstLineChars="200"/>
              <w:rPr>
                <w:color w:val="auto"/>
                <w:sz w:val="24"/>
              </w:rPr>
            </w:pPr>
            <w:r>
              <w:rPr>
                <w:color w:val="auto"/>
                <w:sz w:val="24"/>
              </w:rPr>
              <w:t>本项目所在区域为声环境功能2类区，执行《声环境质量标准》(GB3096-2008)表中2类标准。</w:t>
            </w:r>
          </w:p>
          <w:p>
            <w:pPr>
              <w:widowControl/>
              <w:numPr>
                <w:ilvl w:val="0"/>
                <w:numId w:val="8"/>
              </w:numPr>
              <w:adjustRightInd w:val="0"/>
              <w:snapToGrid w:val="0"/>
              <w:jc w:val="center"/>
              <w:rPr>
                <w:b/>
                <w:color w:val="auto"/>
                <w:szCs w:val="18"/>
              </w:rPr>
            </w:pPr>
            <w:r>
              <w:rPr>
                <w:b/>
                <w:color w:val="auto"/>
                <w:szCs w:val="18"/>
              </w:rPr>
              <w:t>声环境质量标准</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65"/>
              <w:gridCol w:w="2811"/>
              <w:gridCol w:w="31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 w:hRule="atLeast"/>
                <w:jc w:val="center"/>
              </w:trPr>
              <w:tc>
                <w:tcPr>
                  <w:tcW w:w="1455" w:type="pct"/>
                  <w:vMerge w:val="restart"/>
                  <w:vAlign w:val="center"/>
                </w:tcPr>
                <w:p>
                  <w:pPr>
                    <w:spacing w:line="276" w:lineRule="auto"/>
                    <w:jc w:val="center"/>
                    <w:rPr>
                      <w:color w:val="auto"/>
                      <w:kern w:val="0"/>
                      <w:szCs w:val="21"/>
                    </w:rPr>
                  </w:pPr>
                  <w:r>
                    <w:rPr>
                      <w:color w:val="auto"/>
                      <w:kern w:val="0"/>
                      <w:szCs w:val="21"/>
                    </w:rPr>
                    <w:t>相关标准限值dB(A)</w:t>
                  </w:r>
                </w:p>
              </w:tc>
              <w:tc>
                <w:tcPr>
                  <w:tcW w:w="1660" w:type="pct"/>
                  <w:vAlign w:val="center"/>
                </w:tcPr>
                <w:p>
                  <w:pPr>
                    <w:spacing w:line="276" w:lineRule="auto"/>
                    <w:jc w:val="center"/>
                    <w:rPr>
                      <w:b/>
                      <w:bCs/>
                      <w:color w:val="auto"/>
                      <w:kern w:val="0"/>
                      <w:szCs w:val="21"/>
                    </w:rPr>
                  </w:pPr>
                  <w:r>
                    <w:rPr>
                      <w:b/>
                      <w:bCs/>
                      <w:color w:val="auto"/>
                      <w:kern w:val="0"/>
                      <w:szCs w:val="21"/>
                    </w:rPr>
                    <w:t>昼间</w:t>
                  </w:r>
                </w:p>
              </w:tc>
              <w:tc>
                <w:tcPr>
                  <w:tcW w:w="1885" w:type="pct"/>
                  <w:vAlign w:val="center"/>
                </w:tcPr>
                <w:p>
                  <w:pPr>
                    <w:spacing w:line="276" w:lineRule="auto"/>
                    <w:jc w:val="center"/>
                    <w:rPr>
                      <w:b/>
                      <w:bCs/>
                      <w:color w:val="auto"/>
                      <w:kern w:val="0"/>
                      <w:szCs w:val="21"/>
                    </w:rPr>
                  </w:pPr>
                  <w:r>
                    <w:rPr>
                      <w:b/>
                      <w:bCs/>
                      <w:color w:val="auto"/>
                      <w:kern w:val="0"/>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6" w:hRule="atLeast"/>
                <w:jc w:val="center"/>
              </w:trPr>
              <w:tc>
                <w:tcPr>
                  <w:tcW w:w="1455" w:type="pct"/>
                  <w:vMerge w:val="continue"/>
                  <w:vAlign w:val="center"/>
                </w:tcPr>
                <w:p>
                  <w:pPr>
                    <w:spacing w:line="276" w:lineRule="auto"/>
                    <w:jc w:val="center"/>
                    <w:rPr>
                      <w:color w:val="auto"/>
                      <w:kern w:val="0"/>
                      <w:szCs w:val="21"/>
                    </w:rPr>
                  </w:pPr>
                </w:p>
              </w:tc>
              <w:tc>
                <w:tcPr>
                  <w:tcW w:w="1660" w:type="pct"/>
                  <w:vAlign w:val="center"/>
                </w:tcPr>
                <w:p>
                  <w:pPr>
                    <w:spacing w:line="276" w:lineRule="auto"/>
                    <w:jc w:val="center"/>
                    <w:rPr>
                      <w:color w:val="auto"/>
                      <w:kern w:val="0"/>
                      <w:szCs w:val="21"/>
                    </w:rPr>
                  </w:pPr>
                  <w:r>
                    <w:rPr>
                      <w:color w:val="auto"/>
                      <w:kern w:val="0"/>
                      <w:szCs w:val="21"/>
                    </w:rPr>
                    <w:t>60</w:t>
                  </w:r>
                </w:p>
              </w:tc>
              <w:tc>
                <w:tcPr>
                  <w:tcW w:w="1885" w:type="pct"/>
                  <w:vAlign w:val="center"/>
                </w:tcPr>
                <w:p>
                  <w:pPr>
                    <w:spacing w:line="276" w:lineRule="auto"/>
                    <w:jc w:val="center"/>
                    <w:rPr>
                      <w:color w:val="auto"/>
                      <w:kern w:val="0"/>
                      <w:szCs w:val="21"/>
                    </w:rPr>
                  </w:pPr>
                  <w:r>
                    <w:rPr>
                      <w:color w:val="auto"/>
                      <w:kern w:val="0"/>
                      <w:szCs w:val="21"/>
                    </w:rPr>
                    <w:t>50</w:t>
                  </w:r>
                </w:p>
              </w:tc>
            </w:tr>
          </w:tbl>
          <w:p>
            <w:pPr>
              <w:spacing w:line="360" w:lineRule="auto"/>
              <w:ind w:firstLine="482" w:firstLineChars="200"/>
              <w:rPr>
                <w:b/>
                <w:bCs/>
                <w:color w:val="auto"/>
                <w:sz w:val="24"/>
              </w:rPr>
            </w:pPr>
            <w:r>
              <w:rPr>
                <w:b/>
                <w:bCs/>
                <w:color w:val="auto"/>
                <w:sz w:val="24"/>
              </w:rPr>
              <w:t>4、土壤环境质量</w:t>
            </w:r>
          </w:p>
          <w:p>
            <w:pPr>
              <w:spacing w:line="360" w:lineRule="auto"/>
              <w:ind w:firstLine="480" w:firstLineChars="200"/>
              <w:rPr>
                <w:color w:val="auto"/>
                <w:sz w:val="24"/>
              </w:rPr>
            </w:pPr>
            <w:r>
              <w:rPr>
                <w:color w:val="auto"/>
                <w:sz w:val="24"/>
              </w:rPr>
              <w:t>本项目占地范围内土壤环境质量执行《土壤环境质量 农用地土壤污染风险管控标准》（GB 15618-2018）相关标准，具体标准值见下表：</w:t>
            </w:r>
          </w:p>
          <w:p>
            <w:pPr>
              <w:widowControl/>
              <w:numPr>
                <w:ilvl w:val="0"/>
                <w:numId w:val="8"/>
              </w:numPr>
              <w:adjustRightInd w:val="0"/>
              <w:snapToGrid w:val="0"/>
              <w:jc w:val="center"/>
              <w:rPr>
                <w:b/>
                <w:color w:val="auto"/>
                <w:szCs w:val="18"/>
              </w:rPr>
            </w:pPr>
            <w:r>
              <w:rPr>
                <w:b/>
                <w:color w:val="auto"/>
                <w:szCs w:val="18"/>
              </w:rPr>
              <w:t>农用地土壤污染风险筛选值     单位：mg/kg</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1083"/>
              <w:gridCol w:w="2121"/>
              <w:gridCol w:w="2121"/>
              <w:gridCol w:w="21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38" w:type="pct"/>
                  <w:gridSpan w:val="2"/>
                  <w:vAlign w:val="center"/>
                </w:tcPr>
                <w:p>
                  <w:pPr>
                    <w:pStyle w:val="236"/>
                    <w:rPr>
                      <w:b/>
                      <w:bCs/>
                      <w:color w:val="auto"/>
                    </w:rPr>
                  </w:pPr>
                  <w:r>
                    <w:rPr>
                      <w:b/>
                      <w:bCs/>
                      <w:color w:val="auto"/>
                    </w:rPr>
                    <w:t>监测指标</w:t>
                  </w:r>
                </w:p>
              </w:tc>
              <w:tc>
                <w:tcPr>
                  <w:tcW w:w="3761" w:type="pct"/>
                  <w:gridSpan w:val="3"/>
                  <w:vAlign w:val="center"/>
                </w:tcPr>
                <w:p>
                  <w:pPr>
                    <w:pStyle w:val="236"/>
                    <w:rPr>
                      <w:b/>
                      <w:bCs/>
                      <w:color w:val="auto"/>
                    </w:rPr>
                  </w:pPr>
                  <w:r>
                    <w:rPr>
                      <w:b/>
                      <w:bCs/>
                      <w:color w:val="auto"/>
                    </w:rPr>
                    <w:t>《土壤环境质量 农用地土壤污染风险管控标准》（GB 15618-2018）标准限值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38" w:type="pct"/>
                  <w:gridSpan w:val="2"/>
                  <w:vAlign w:val="center"/>
                </w:tcPr>
                <w:p>
                  <w:pPr>
                    <w:pStyle w:val="236"/>
                    <w:rPr>
                      <w:color w:val="auto"/>
                    </w:rPr>
                  </w:pPr>
                  <w:r>
                    <w:rPr>
                      <w:color w:val="auto"/>
                    </w:rPr>
                    <w:t>pH</w:t>
                  </w:r>
                </w:p>
              </w:tc>
              <w:tc>
                <w:tcPr>
                  <w:tcW w:w="1253" w:type="pct"/>
                  <w:vAlign w:val="center"/>
                </w:tcPr>
                <w:p>
                  <w:pPr>
                    <w:pStyle w:val="236"/>
                    <w:rPr>
                      <w:color w:val="auto"/>
                    </w:rPr>
                  </w:pPr>
                  <w:r>
                    <w:rPr>
                      <w:rStyle w:val="77"/>
                      <w:rFonts w:eastAsia="等线"/>
                      <w:color w:val="auto"/>
                    </w:rPr>
                    <w:t xml:space="preserve">5.5&lt;pH </w:t>
                  </w:r>
                  <w:r>
                    <w:rPr>
                      <w:rStyle w:val="78"/>
                      <w:color w:val="auto"/>
                    </w:rPr>
                    <w:t>≤</w:t>
                  </w:r>
                  <w:r>
                    <w:rPr>
                      <w:rStyle w:val="77"/>
                      <w:rFonts w:eastAsia="等线"/>
                      <w:color w:val="auto"/>
                    </w:rPr>
                    <w:t xml:space="preserve"> 6.5</w:t>
                  </w:r>
                </w:p>
              </w:tc>
              <w:tc>
                <w:tcPr>
                  <w:tcW w:w="1253" w:type="pct"/>
                  <w:vAlign w:val="center"/>
                </w:tcPr>
                <w:p>
                  <w:pPr>
                    <w:pStyle w:val="236"/>
                    <w:rPr>
                      <w:color w:val="auto"/>
                    </w:rPr>
                  </w:pPr>
                  <w:r>
                    <w:rPr>
                      <w:color w:val="auto"/>
                    </w:rPr>
                    <w:t>6.5&lt;pH ≤ 7.5</w:t>
                  </w:r>
                </w:p>
              </w:tc>
              <w:tc>
                <w:tcPr>
                  <w:tcW w:w="1254" w:type="pct"/>
                  <w:vAlign w:val="center"/>
                </w:tcPr>
                <w:p>
                  <w:pPr>
                    <w:pStyle w:val="236"/>
                    <w:rPr>
                      <w:color w:val="auto"/>
                    </w:rPr>
                  </w:pPr>
                  <w:r>
                    <w:rPr>
                      <w:rFonts w:eastAsia="等线"/>
                      <w:color w:val="auto"/>
                    </w:rPr>
                    <w:t>pH&gt;7.5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99" w:type="pct"/>
                  <w:vMerge w:val="restart"/>
                  <w:vAlign w:val="center"/>
                </w:tcPr>
                <w:p>
                  <w:pPr>
                    <w:pStyle w:val="236"/>
                    <w:rPr>
                      <w:color w:val="auto"/>
                    </w:rPr>
                  </w:pPr>
                  <w:r>
                    <w:rPr>
                      <w:color w:val="auto"/>
                    </w:rPr>
                    <w:t>镉</w:t>
                  </w:r>
                </w:p>
              </w:tc>
              <w:tc>
                <w:tcPr>
                  <w:tcW w:w="639" w:type="pct"/>
                  <w:vAlign w:val="center"/>
                </w:tcPr>
                <w:p>
                  <w:pPr>
                    <w:pStyle w:val="236"/>
                    <w:rPr>
                      <w:color w:val="auto"/>
                      <w:lang w:val="en-US"/>
                    </w:rPr>
                  </w:pPr>
                  <w:r>
                    <w:rPr>
                      <w:color w:val="auto"/>
                      <w:lang w:val="en-US"/>
                    </w:rPr>
                    <w:t>水田</w:t>
                  </w:r>
                </w:p>
              </w:tc>
              <w:tc>
                <w:tcPr>
                  <w:tcW w:w="1253" w:type="pct"/>
                  <w:vAlign w:val="center"/>
                </w:tcPr>
                <w:p>
                  <w:pPr>
                    <w:pStyle w:val="236"/>
                    <w:rPr>
                      <w:rStyle w:val="77"/>
                      <w:rFonts w:eastAsia="等线"/>
                      <w:color w:val="auto"/>
                      <w:lang w:val="en-US"/>
                    </w:rPr>
                  </w:pPr>
                  <w:r>
                    <w:rPr>
                      <w:rStyle w:val="77"/>
                      <w:rFonts w:eastAsia="等线"/>
                      <w:color w:val="auto"/>
                      <w:lang w:val="en-US"/>
                    </w:rPr>
                    <w:t>0.4</w:t>
                  </w:r>
                </w:p>
              </w:tc>
              <w:tc>
                <w:tcPr>
                  <w:tcW w:w="1253" w:type="pct"/>
                  <w:vAlign w:val="center"/>
                </w:tcPr>
                <w:p>
                  <w:pPr>
                    <w:pStyle w:val="236"/>
                    <w:rPr>
                      <w:color w:val="auto"/>
                      <w:lang w:val="en-US"/>
                    </w:rPr>
                  </w:pPr>
                  <w:r>
                    <w:rPr>
                      <w:color w:val="auto"/>
                      <w:lang w:val="en-US"/>
                    </w:rPr>
                    <w:t>0.6</w:t>
                  </w:r>
                </w:p>
              </w:tc>
              <w:tc>
                <w:tcPr>
                  <w:tcW w:w="1254" w:type="pct"/>
                  <w:vAlign w:val="center"/>
                </w:tcPr>
                <w:p>
                  <w:pPr>
                    <w:pStyle w:val="236"/>
                    <w:rPr>
                      <w:rFonts w:eastAsia="等线"/>
                      <w:color w:val="auto"/>
                      <w:lang w:val="en-US"/>
                    </w:rPr>
                  </w:pPr>
                  <w:r>
                    <w:rPr>
                      <w:rFonts w:eastAsia="等线"/>
                      <w:color w:val="auto"/>
                      <w:lang w:val="en-US"/>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99" w:type="pct"/>
                  <w:vMerge w:val="continue"/>
                  <w:vAlign w:val="center"/>
                </w:tcPr>
                <w:p>
                  <w:pPr>
                    <w:pStyle w:val="236"/>
                    <w:rPr>
                      <w:color w:val="auto"/>
                    </w:rPr>
                  </w:pPr>
                </w:p>
              </w:tc>
              <w:tc>
                <w:tcPr>
                  <w:tcW w:w="639" w:type="pct"/>
                  <w:vAlign w:val="center"/>
                </w:tcPr>
                <w:p>
                  <w:pPr>
                    <w:pStyle w:val="236"/>
                    <w:rPr>
                      <w:color w:val="auto"/>
                      <w:lang w:val="en-US"/>
                    </w:rPr>
                  </w:pPr>
                  <w:r>
                    <w:rPr>
                      <w:color w:val="auto"/>
                      <w:lang w:val="en-US"/>
                    </w:rPr>
                    <w:t>其他</w:t>
                  </w:r>
                </w:p>
              </w:tc>
              <w:tc>
                <w:tcPr>
                  <w:tcW w:w="1253" w:type="pct"/>
                  <w:vAlign w:val="center"/>
                </w:tcPr>
                <w:p>
                  <w:pPr>
                    <w:pStyle w:val="236"/>
                    <w:rPr>
                      <w:color w:val="auto"/>
                    </w:rPr>
                  </w:pPr>
                  <w:r>
                    <w:rPr>
                      <w:rFonts w:eastAsia="等线"/>
                      <w:color w:val="auto"/>
                    </w:rPr>
                    <w:t>0.3</w:t>
                  </w:r>
                </w:p>
              </w:tc>
              <w:tc>
                <w:tcPr>
                  <w:tcW w:w="1253" w:type="pct"/>
                  <w:vAlign w:val="center"/>
                </w:tcPr>
                <w:p>
                  <w:pPr>
                    <w:pStyle w:val="236"/>
                    <w:rPr>
                      <w:color w:val="auto"/>
                    </w:rPr>
                  </w:pPr>
                  <w:r>
                    <w:rPr>
                      <w:rFonts w:eastAsia="等线"/>
                      <w:color w:val="auto"/>
                    </w:rPr>
                    <w:t>0.3</w:t>
                  </w:r>
                </w:p>
              </w:tc>
              <w:tc>
                <w:tcPr>
                  <w:tcW w:w="1254" w:type="pct"/>
                  <w:vAlign w:val="center"/>
                </w:tcPr>
                <w:p>
                  <w:pPr>
                    <w:pStyle w:val="236"/>
                    <w:rPr>
                      <w:rFonts w:eastAsia="等线"/>
                      <w:color w:val="auto"/>
                    </w:rPr>
                  </w:pPr>
                  <w:r>
                    <w:rPr>
                      <w:rFonts w:eastAsia="等线"/>
                      <w:color w:val="auto"/>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99" w:type="pct"/>
                  <w:vMerge w:val="restart"/>
                  <w:vAlign w:val="center"/>
                </w:tcPr>
                <w:p>
                  <w:pPr>
                    <w:pStyle w:val="236"/>
                    <w:rPr>
                      <w:color w:val="auto"/>
                    </w:rPr>
                  </w:pPr>
                  <w:r>
                    <w:rPr>
                      <w:color w:val="auto"/>
                    </w:rPr>
                    <w:t>汞</w:t>
                  </w:r>
                </w:p>
              </w:tc>
              <w:tc>
                <w:tcPr>
                  <w:tcW w:w="639" w:type="pct"/>
                  <w:vAlign w:val="center"/>
                </w:tcPr>
                <w:p>
                  <w:pPr>
                    <w:pStyle w:val="236"/>
                    <w:rPr>
                      <w:color w:val="auto"/>
                    </w:rPr>
                  </w:pPr>
                  <w:r>
                    <w:rPr>
                      <w:color w:val="auto"/>
                      <w:lang w:val="en-US"/>
                    </w:rPr>
                    <w:t>水田</w:t>
                  </w:r>
                </w:p>
              </w:tc>
              <w:tc>
                <w:tcPr>
                  <w:tcW w:w="1253" w:type="pct"/>
                  <w:vAlign w:val="center"/>
                </w:tcPr>
                <w:p>
                  <w:pPr>
                    <w:pStyle w:val="236"/>
                    <w:rPr>
                      <w:rFonts w:eastAsia="等线"/>
                      <w:color w:val="auto"/>
                      <w:lang w:val="en-US"/>
                    </w:rPr>
                  </w:pPr>
                  <w:r>
                    <w:rPr>
                      <w:rFonts w:eastAsia="等线"/>
                      <w:color w:val="auto"/>
                      <w:lang w:val="en-US"/>
                    </w:rPr>
                    <w:t>0.5</w:t>
                  </w:r>
                </w:p>
              </w:tc>
              <w:tc>
                <w:tcPr>
                  <w:tcW w:w="1253" w:type="pct"/>
                  <w:vAlign w:val="center"/>
                </w:tcPr>
                <w:p>
                  <w:pPr>
                    <w:pStyle w:val="236"/>
                    <w:rPr>
                      <w:rFonts w:eastAsia="等线"/>
                      <w:color w:val="auto"/>
                      <w:lang w:val="en-US"/>
                    </w:rPr>
                  </w:pPr>
                  <w:r>
                    <w:rPr>
                      <w:rFonts w:eastAsia="等线"/>
                      <w:color w:val="auto"/>
                      <w:lang w:val="en-US"/>
                    </w:rPr>
                    <w:t>0.6</w:t>
                  </w:r>
                </w:p>
              </w:tc>
              <w:tc>
                <w:tcPr>
                  <w:tcW w:w="1254" w:type="pct"/>
                  <w:vAlign w:val="center"/>
                </w:tcPr>
                <w:p>
                  <w:pPr>
                    <w:pStyle w:val="236"/>
                    <w:rPr>
                      <w:rFonts w:eastAsia="等线"/>
                      <w:color w:val="auto"/>
                      <w:lang w:val="en-US"/>
                    </w:rPr>
                  </w:pPr>
                  <w:r>
                    <w:rPr>
                      <w:rFonts w:eastAsia="等线"/>
                      <w:color w:val="auto"/>
                      <w:lang w:val="en-US"/>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99" w:type="pct"/>
                  <w:vMerge w:val="continue"/>
                  <w:vAlign w:val="center"/>
                </w:tcPr>
                <w:p>
                  <w:pPr>
                    <w:pStyle w:val="236"/>
                    <w:rPr>
                      <w:color w:val="auto"/>
                    </w:rPr>
                  </w:pPr>
                </w:p>
              </w:tc>
              <w:tc>
                <w:tcPr>
                  <w:tcW w:w="639" w:type="pct"/>
                  <w:vAlign w:val="center"/>
                </w:tcPr>
                <w:p>
                  <w:pPr>
                    <w:pStyle w:val="236"/>
                    <w:rPr>
                      <w:color w:val="auto"/>
                    </w:rPr>
                  </w:pPr>
                  <w:r>
                    <w:rPr>
                      <w:color w:val="auto"/>
                      <w:lang w:val="en-US"/>
                    </w:rPr>
                    <w:t>其他</w:t>
                  </w:r>
                </w:p>
              </w:tc>
              <w:tc>
                <w:tcPr>
                  <w:tcW w:w="1253" w:type="pct"/>
                  <w:vAlign w:val="center"/>
                </w:tcPr>
                <w:p>
                  <w:pPr>
                    <w:pStyle w:val="236"/>
                    <w:rPr>
                      <w:color w:val="auto"/>
                    </w:rPr>
                  </w:pPr>
                  <w:r>
                    <w:rPr>
                      <w:rFonts w:eastAsia="等线"/>
                      <w:color w:val="auto"/>
                    </w:rPr>
                    <w:t>1.8</w:t>
                  </w:r>
                </w:p>
              </w:tc>
              <w:tc>
                <w:tcPr>
                  <w:tcW w:w="1253" w:type="pct"/>
                  <w:vAlign w:val="center"/>
                </w:tcPr>
                <w:p>
                  <w:pPr>
                    <w:pStyle w:val="236"/>
                    <w:rPr>
                      <w:color w:val="auto"/>
                    </w:rPr>
                  </w:pPr>
                  <w:r>
                    <w:rPr>
                      <w:rFonts w:eastAsia="等线"/>
                      <w:color w:val="auto"/>
                    </w:rPr>
                    <w:t>2.4</w:t>
                  </w:r>
                </w:p>
              </w:tc>
              <w:tc>
                <w:tcPr>
                  <w:tcW w:w="1254" w:type="pct"/>
                  <w:vAlign w:val="center"/>
                </w:tcPr>
                <w:p>
                  <w:pPr>
                    <w:pStyle w:val="236"/>
                    <w:rPr>
                      <w:rFonts w:eastAsia="等线"/>
                      <w:color w:val="auto"/>
                    </w:rPr>
                  </w:pPr>
                  <w:r>
                    <w:rPr>
                      <w:rFonts w:eastAsia="等线"/>
                      <w:color w:val="auto"/>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99" w:type="pct"/>
                  <w:vMerge w:val="restart"/>
                  <w:vAlign w:val="center"/>
                </w:tcPr>
                <w:p>
                  <w:pPr>
                    <w:pStyle w:val="236"/>
                    <w:rPr>
                      <w:color w:val="auto"/>
                    </w:rPr>
                  </w:pPr>
                  <w:r>
                    <w:rPr>
                      <w:color w:val="auto"/>
                    </w:rPr>
                    <w:t>砷</w:t>
                  </w:r>
                </w:p>
              </w:tc>
              <w:tc>
                <w:tcPr>
                  <w:tcW w:w="639" w:type="pct"/>
                  <w:vAlign w:val="center"/>
                </w:tcPr>
                <w:p>
                  <w:pPr>
                    <w:pStyle w:val="236"/>
                    <w:rPr>
                      <w:color w:val="auto"/>
                    </w:rPr>
                  </w:pPr>
                  <w:r>
                    <w:rPr>
                      <w:color w:val="auto"/>
                      <w:lang w:val="en-US"/>
                    </w:rPr>
                    <w:t>水田</w:t>
                  </w:r>
                </w:p>
              </w:tc>
              <w:tc>
                <w:tcPr>
                  <w:tcW w:w="1253" w:type="pct"/>
                  <w:vAlign w:val="center"/>
                </w:tcPr>
                <w:p>
                  <w:pPr>
                    <w:pStyle w:val="236"/>
                    <w:rPr>
                      <w:rFonts w:eastAsia="等线"/>
                      <w:color w:val="auto"/>
                      <w:lang w:val="en-US"/>
                    </w:rPr>
                  </w:pPr>
                  <w:r>
                    <w:rPr>
                      <w:rFonts w:eastAsia="等线"/>
                      <w:color w:val="auto"/>
                      <w:lang w:val="en-US"/>
                    </w:rPr>
                    <w:t>30</w:t>
                  </w:r>
                </w:p>
              </w:tc>
              <w:tc>
                <w:tcPr>
                  <w:tcW w:w="1253" w:type="pct"/>
                  <w:vAlign w:val="center"/>
                </w:tcPr>
                <w:p>
                  <w:pPr>
                    <w:pStyle w:val="236"/>
                    <w:rPr>
                      <w:rFonts w:eastAsia="等线"/>
                      <w:color w:val="auto"/>
                      <w:lang w:val="en-US"/>
                    </w:rPr>
                  </w:pPr>
                  <w:r>
                    <w:rPr>
                      <w:rFonts w:eastAsia="等线"/>
                      <w:color w:val="auto"/>
                      <w:lang w:val="en-US"/>
                    </w:rPr>
                    <w:t>25</w:t>
                  </w:r>
                </w:p>
              </w:tc>
              <w:tc>
                <w:tcPr>
                  <w:tcW w:w="1254" w:type="pct"/>
                  <w:vAlign w:val="center"/>
                </w:tcPr>
                <w:p>
                  <w:pPr>
                    <w:pStyle w:val="236"/>
                    <w:rPr>
                      <w:rFonts w:eastAsia="等线"/>
                      <w:color w:val="auto"/>
                      <w:lang w:val="en-US"/>
                    </w:rPr>
                  </w:pPr>
                  <w:r>
                    <w:rPr>
                      <w:rFonts w:eastAsia="等线"/>
                      <w:color w:val="auto"/>
                      <w:lang w:val="en-US"/>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99" w:type="pct"/>
                  <w:vMerge w:val="continue"/>
                  <w:vAlign w:val="center"/>
                </w:tcPr>
                <w:p>
                  <w:pPr>
                    <w:pStyle w:val="236"/>
                    <w:rPr>
                      <w:color w:val="auto"/>
                    </w:rPr>
                  </w:pPr>
                </w:p>
              </w:tc>
              <w:tc>
                <w:tcPr>
                  <w:tcW w:w="639" w:type="pct"/>
                  <w:vAlign w:val="center"/>
                </w:tcPr>
                <w:p>
                  <w:pPr>
                    <w:pStyle w:val="236"/>
                    <w:rPr>
                      <w:color w:val="auto"/>
                    </w:rPr>
                  </w:pPr>
                  <w:r>
                    <w:rPr>
                      <w:color w:val="auto"/>
                      <w:lang w:val="en-US"/>
                    </w:rPr>
                    <w:t>其他</w:t>
                  </w:r>
                </w:p>
              </w:tc>
              <w:tc>
                <w:tcPr>
                  <w:tcW w:w="1253" w:type="pct"/>
                  <w:vAlign w:val="center"/>
                </w:tcPr>
                <w:p>
                  <w:pPr>
                    <w:pStyle w:val="236"/>
                    <w:rPr>
                      <w:color w:val="auto"/>
                    </w:rPr>
                  </w:pPr>
                  <w:r>
                    <w:rPr>
                      <w:rFonts w:eastAsia="等线"/>
                      <w:color w:val="auto"/>
                    </w:rPr>
                    <w:t>40</w:t>
                  </w:r>
                </w:p>
              </w:tc>
              <w:tc>
                <w:tcPr>
                  <w:tcW w:w="1253" w:type="pct"/>
                  <w:vAlign w:val="center"/>
                </w:tcPr>
                <w:p>
                  <w:pPr>
                    <w:pStyle w:val="236"/>
                    <w:rPr>
                      <w:color w:val="auto"/>
                    </w:rPr>
                  </w:pPr>
                  <w:r>
                    <w:rPr>
                      <w:rFonts w:eastAsia="等线"/>
                      <w:color w:val="auto"/>
                    </w:rPr>
                    <w:t>30</w:t>
                  </w:r>
                </w:p>
              </w:tc>
              <w:tc>
                <w:tcPr>
                  <w:tcW w:w="1254" w:type="pct"/>
                  <w:vAlign w:val="center"/>
                </w:tcPr>
                <w:p>
                  <w:pPr>
                    <w:pStyle w:val="236"/>
                    <w:rPr>
                      <w:rFonts w:eastAsia="等线"/>
                      <w:color w:val="auto"/>
                    </w:rPr>
                  </w:pPr>
                  <w:r>
                    <w:rPr>
                      <w:rFonts w:eastAsia="等线"/>
                      <w:color w:val="auto"/>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99" w:type="pct"/>
                  <w:vMerge w:val="restart"/>
                  <w:vAlign w:val="center"/>
                </w:tcPr>
                <w:p>
                  <w:pPr>
                    <w:pStyle w:val="236"/>
                    <w:rPr>
                      <w:color w:val="auto"/>
                    </w:rPr>
                  </w:pPr>
                  <w:r>
                    <w:rPr>
                      <w:color w:val="auto"/>
                    </w:rPr>
                    <w:t>铅</w:t>
                  </w:r>
                </w:p>
              </w:tc>
              <w:tc>
                <w:tcPr>
                  <w:tcW w:w="639" w:type="pct"/>
                  <w:vAlign w:val="center"/>
                </w:tcPr>
                <w:p>
                  <w:pPr>
                    <w:pStyle w:val="236"/>
                    <w:rPr>
                      <w:color w:val="auto"/>
                    </w:rPr>
                  </w:pPr>
                  <w:r>
                    <w:rPr>
                      <w:color w:val="auto"/>
                      <w:lang w:val="en-US"/>
                    </w:rPr>
                    <w:t>水田</w:t>
                  </w:r>
                </w:p>
              </w:tc>
              <w:tc>
                <w:tcPr>
                  <w:tcW w:w="1253" w:type="pct"/>
                  <w:vAlign w:val="center"/>
                </w:tcPr>
                <w:p>
                  <w:pPr>
                    <w:pStyle w:val="236"/>
                    <w:rPr>
                      <w:rFonts w:eastAsia="等线"/>
                      <w:color w:val="auto"/>
                      <w:lang w:val="en-US"/>
                    </w:rPr>
                  </w:pPr>
                  <w:r>
                    <w:rPr>
                      <w:rFonts w:eastAsia="等线"/>
                      <w:color w:val="auto"/>
                      <w:lang w:val="en-US"/>
                    </w:rPr>
                    <w:t>100</w:t>
                  </w:r>
                </w:p>
              </w:tc>
              <w:tc>
                <w:tcPr>
                  <w:tcW w:w="1253" w:type="pct"/>
                  <w:vAlign w:val="center"/>
                </w:tcPr>
                <w:p>
                  <w:pPr>
                    <w:pStyle w:val="236"/>
                    <w:rPr>
                      <w:rFonts w:eastAsia="等线"/>
                      <w:color w:val="auto"/>
                      <w:lang w:val="en-US"/>
                    </w:rPr>
                  </w:pPr>
                  <w:r>
                    <w:rPr>
                      <w:rFonts w:eastAsia="等线"/>
                      <w:color w:val="auto"/>
                      <w:lang w:val="en-US"/>
                    </w:rPr>
                    <w:t>140</w:t>
                  </w:r>
                </w:p>
              </w:tc>
              <w:tc>
                <w:tcPr>
                  <w:tcW w:w="1254" w:type="pct"/>
                  <w:vAlign w:val="center"/>
                </w:tcPr>
                <w:p>
                  <w:pPr>
                    <w:pStyle w:val="236"/>
                    <w:rPr>
                      <w:rFonts w:eastAsia="等线"/>
                      <w:color w:val="auto"/>
                      <w:lang w:val="en-US"/>
                    </w:rPr>
                  </w:pPr>
                  <w:r>
                    <w:rPr>
                      <w:rFonts w:eastAsia="等线"/>
                      <w:color w:val="auto"/>
                      <w:lang w:val="en-US"/>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 w:hRule="atLeast"/>
                <w:jc w:val="center"/>
              </w:trPr>
              <w:tc>
                <w:tcPr>
                  <w:tcW w:w="599" w:type="pct"/>
                  <w:vMerge w:val="continue"/>
                  <w:vAlign w:val="center"/>
                </w:tcPr>
                <w:p>
                  <w:pPr>
                    <w:pStyle w:val="236"/>
                    <w:rPr>
                      <w:color w:val="auto"/>
                    </w:rPr>
                  </w:pPr>
                </w:p>
              </w:tc>
              <w:tc>
                <w:tcPr>
                  <w:tcW w:w="639" w:type="pct"/>
                  <w:vAlign w:val="center"/>
                </w:tcPr>
                <w:p>
                  <w:pPr>
                    <w:pStyle w:val="236"/>
                    <w:rPr>
                      <w:color w:val="auto"/>
                    </w:rPr>
                  </w:pPr>
                  <w:r>
                    <w:rPr>
                      <w:color w:val="auto"/>
                      <w:lang w:val="en-US"/>
                    </w:rPr>
                    <w:t>其他</w:t>
                  </w:r>
                </w:p>
              </w:tc>
              <w:tc>
                <w:tcPr>
                  <w:tcW w:w="1253" w:type="pct"/>
                  <w:vAlign w:val="center"/>
                </w:tcPr>
                <w:p>
                  <w:pPr>
                    <w:pStyle w:val="236"/>
                    <w:rPr>
                      <w:color w:val="auto"/>
                    </w:rPr>
                  </w:pPr>
                  <w:r>
                    <w:rPr>
                      <w:rFonts w:eastAsia="等线"/>
                      <w:color w:val="auto"/>
                    </w:rPr>
                    <w:t>90</w:t>
                  </w:r>
                </w:p>
              </w:tc>
              <w:tc>
                <w:tcPr>
                  <w:tcW w:w="1253" w:type="pct"/>
                  <w:vAlign w:val="center"/>
                </w:tcPr>
                <w:p>
                  <w:pPr>
                    <w:pStyle w:val="236"/>
                    <w:rPr>
                      <w:color w:val="auto"/>
                    </w:rPr>
                  </w:pPr>
                  <w:r>
                    <w:rPr>
                      <w:rFonts w:eastAsia="等线"/>
                      <w:color w:val="auto"/>
                    </w:rPr>
                    <w:t>120</w:t>
                  </w:r>
                </w:p>
              </w:tc>
              <w:tc>
                <w:tcPr>
                  <w:tcW w:w="1254" w:type="pct"/>
                  <w:vAlign w:val="center"/>
                </w:tcPr>
                <w:p>
                  <w:pPr>
                    <w:pStyle w:val="236"/>
                    <w:rPr>
                      <w:rFonts w:eastAsia="等线"/>
                      <w:color w:val="auto"/>
                    </w:rPr>
                  </w:pPr>
                  <w:r>
                    <w:rPr>
                      <w:rFonts w:eastAsia="等线"/>
                      <w:color w:val="auto"/>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 w:hRule="atLeast"/>
                <w:jc w:val="center"/>
              </w:trPr>
              <w:tc>
                <w:tcPr>
                  <w:tcW w:w="599" w:type="pct"/>
                  <w:vMerge w:val="restart"/>
                  <w:vAlign w:val="center"/>
                </w:tcPr>
                <w:p>
                  <w:pPr>
                    <w:pStyle w:val="236"/>
                    <w:rPr>
                      <w:color w:val="auto"/>
                    </w:rPr>
                  </w:pPr>
                  <w:r>
                    <w:rPr>
                      <w:color w:val="auto"/>
                    </w:rPr>
                    <w:t>铬</w:t>
                  </w:r>
                </w:p>
              </w:tc>
              <w:tc>
                <w:tcPr>
                  <w:tcW w:w="639" w:type="pct"/>
                  <w:vAlign w:val="center"/>
                </w:tcPr>
                <w:p>
                  <w:pPr>
                    <w:pStyle w:val="236"/>
                    <w:rPr>
                      <w:color w:val="auto"/>
                    </w:rPr>
                  </w:pPr>
                  <w:r>
                    <w:rPr>
                      <w:color w:val="auto"/>
                      <w:lang w:val="en-US"/>
                    </w:rPr>
                    <w:t>水田</w:t>
                  </w:r>
                </w:p>
              </w:tc>
              <w:tc>
                <w:tcPr>
                  <w:tcW w:w="1253" w:type="pct"/>
                  <w:vAlign w:val="center"/>
                </w:tcPr>
                <w:p>
                  <w:pPr>
                    <w:pStyle w:val="236"/>
                    <w:rPr>
                      <w:rFonts w:eastAsia="等线"/>
                      <w:color w:val="auto"/>
                      <w:lang w:val="en-US"/>
                    </w:rPr>
                  </w:pPr>
                  <w:r>
                    <w:rPr>
                      <w:rFonts w:eastAsia="等线"/>
                      <w:color w:val="auto"/>
                      <w:lang w:val="en-US"/>
                    </w:rPr>
                    <w:t>250</w:t>
                  </w:r>
                </w:p>
              </w:tc>
              <w:tc>
                <w:tcPr>
                  <w:tcW w:w="1253" w:type="pct"/>
                  <w:vAlign w:val="center"/>
                </w:tcPr>
                <w:p>
                  <w:pPr>
                    <w:pStyle w:val="236"/>
                    <w:rPr>
                      <w:rFonts w:eastAsia="等线"/>
                      <w:color w:val="auto"/>
                      <w:lang w:val="en-US"/>
                    </w:rPr>
                  </w:pPr>
                  <w:r>
                    <w:rPr>
                      <w:rFonts w:eastAsia="等线"/>
                      <w:color w:val="auto"/>
                      <w:lang w:val="en-US"/>
                    </w:rPr>
                    <w:t>300</w:t>
                  </w:r>
                </w:p>
              </w:tc>
              <w:tc>
                <w:tcPr>
                  <w:tcW w:w="1254" w:type="pct"/>
                  <w:vAlign w:val="center"/>
                </w:tcPr>
                <w:p>
                  <w:pPr>
                    <w:pStyle w:val="236"/>
                    <w:rPr>
                      <w:rFonts w:eastAsia="等线"/>
                      <w:color w:val="auto"/>
                      <w:lang w:val="en-US"/>
                    </w:rPr>
                  </w:pPr>
                  <w:r>
                    <w:rPr>
                      <w:rFonts w:eastAsia="等线"/>
                      <w:color w:val="auto"/>
                      <w:lang w:val="en-US"/>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99" w:type="pct"/>
                  <w:vMerge w:val="continue"/>
                  <w:vAlign w:val="center"/>
                </w:tcPr>
                <w:p>
                  <w:pPr>
                    <w:pStyle w:val="236"/>
                    <w:rPr>
                      <w:color w:val="auto"/>
                    </w:rPr>
                  </w:pPr>
                </w:p>
              </w:tc>
              <w:tc>
                <w:tcPr>
                  <w:tcW w:w="639" w:type="pct"/>
                  <w:vAlign w:val="center"/>
                </w:tcPr>
                <w:p>
                  <w:pPr>
                    <w:pStyle w:val="236"/>
                    <w:rPr>
                      <w:color w:val="auto"/>
                    </w:rPr>
                  </w:pPr>
                  <w:r>
                    <w:rPr>
                      <w:color w:val="auto"/>
                      <w:lang w:val="en-US"/>
                    </w:rPr>
                    <w:t>其他</w:t>
                  </w:r>
                </w:p>
              </w:tc>
              <w:tc>
                <w:tcPr>
                  <w:tcW w:w="1253" w:type="pct"/>
                  <w:vAlign w:val="center"/>
                </w:tcPr>
                <w:p>
                  <w:pPr>
                    <w:pStyle w:val="236"/>
                    <w:rPr>
                      <w:color w:val="auto"/>
                    </w:rPr>
                  </w:pPr>
                  <w:r>
                    <w:rPr>
                      <w:rFonts w:eastAsia="等线"/>
                      <w:color w:val="auto"/>
                    </w:rPr>
                    <w:t>150</w:t>
                  </w:r>
                </w:p>
              </w:tc>
              <w:tc>
                <w:tcPr>
                  <w:tcW w:w="1253" w:type="pct"/>
                  <w:vAlign w:val="center"/>
                </w:tcPr>
                <w:p>
                  <w:pPr>
                    <w:pStyle w:val="236"/>
                    <w:rPr>
                      <w:color w:val="auto"/>
                    </w:rPr>
                  </w:pPr>
                  <w:r>
                    <w:rPr>
                      <w:rFonts w:eastAsia="等线"/>
                      <w:color w:val="auto"/>
                    </w:rPr>
                    <w:t>200</w:t>
                  </w:r>
                </w:p>
              </w:tc>
              <w:tc>
                <w:tcPr>
                  <w:tcW w:w="1254" w:type="pct"/>
                  <w:vAlign w:val="center"/>
                </w:tcPr>
                <w:p>
                  <w:pPr>
                    <w:pStyle w:val="236"/>
                    <w:rPr>
                      <w:rFonts w:eastAsia="等线"/>
                      <w:color w:val="auto"/>
                    </w:rPr>
                  </w:pPr>
                  <w:r>
                    <w:rPr>
                      <w:rFonts w:eastAsia="等线"/>
                      <w:color w:val="auto"/>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99" w:type="pct"/>
                  <w:vMerge w:val="restart"/>
                  <w:vAlign w:val="center"/>
                </w:tcPr>
                <w:p>
                  <w:pPr>
                    <w:pStyle w:val="236"/>
                    <w:rPr>
                      <w:color w:val="auto"/>
                    </w:rPr>
                  </w:pPr>
                  <w:r>
                    <w:rPr>
                      <w:color w:val="auto"/>
                    </w:rPr>
                    <w:t>铜</w:t>
                  </w:r>
                </w:p>
              </w:tc>
              <w:tc>
                <w:tcPr>
                  <w:tcW w:w="639" w:type="pct"/>
                  <w:vAlign w:val="center"/>
                </w:tcPr>
                <w:p>
                  <w:pPr>
                    <w:pStyle w:val="236"/>
                    <w:rPr>
                      <w:color w:val="auto"/>
                    </w:rPr>
                  </w:pPr>
                  <w:r>
                    <w:rPr>
                      <w:color w:val="auto"/>
                      <w:lang w:val="en-US"/>
                    </w:rPr>
                    <w:t>水田</w:t>
                  </w:r>
                </w:p>
              </w:tc>
              <w:tc>
                <w:tcPr>
                  <w:tcW w:w="1253" w:type="pct"/>
                  <w:vAlign w:val="center"/>
                </w:tcPr>
                <w:p>
                  <w:pPr>
                    <w:pStyle w:val="236"/>
                    <w:rPr>
                      <w:rFonts w:eastAsia="等线"/>
                      <w:color w:val="auto"/>
                      <w:lang w:val="en-US"/>
                    </w:rPr>
                  </w:pPr>
                  <w:r>
                    <w:rPr>
                      <w:rFonts w:eastAsia="等线"/>
                      <w:color w:val="auto"/>
                      <w:lang w:val="en-US"/>
                    </w:rPr>
                    <w:t>150</w:t>
                  </w:r>
                </w:p>
              </w:tc>
              <w:tc>
                <w:tcPr>
                  <w:tcW w:w="1253" w:type="pct"/>
                  <w:vAlign w:val="center"/>
                </w:tcPr>
                <w:p>
                  <w:pPr>
                    <w:pStyle w:val="236"/>
                    <w:rPr>
                      <w:rFonts w:eastAsia="等线"/>
                      <w:color w:val="auto"/>
                      <w:lang w:val="en-US"/>
                    </w:rPr>
                  </w:pPr>
                  <w:r>
                    <w:rPr>
                      <w:rFonts w:eastAsia="等线"/>
                      <w:color w:val="auto"/>
                      <w:lang w:val="en-US"/>
                    </w:rPr>
                    <w:t>20</w:t>
                  </w:r>
                </w:p>
              </w:tc>
              <w:tc>
                <w:tcPr>
                  <w:tcW w:w="1254" w:type="pct"/>
                  <w:vAlign w:val="center"/>
                </w:tcPr>
                <w:p>
                  <w:pPr>
                    <w:pStyle w:val="236"/>
                    <w:rPr>
                      <w:rFonts w:eastAsia="等线"/>
                      <w:color w:val="auto"/>
                      <w:lang w:val="en-US"/>
                    </w:rPr>
                  </w:pPr>
                  <w:r>
                    <w:rPr>
                      <w:rFonts w:eastAsia="等线"/>
                      <w:color w:val="auto"/>
                      <w:lang w:val="en-US"/>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99" w:type="pct"/>
                  <w:vMerge w:val="continue"/>
                  <w:vAlign w:val="center"/>
                </w:tcPr>
                <w:p>
                  <w:pPr>
                    <w:pStyle w:val="236"/>
                    <w:rPr>
                      <w:color w:val="auto"/>
                    </w:rPr>
                  </w:pPr>
                </w:p>
              </w:tc>
              <w:tc>
                <w:tcPr>
                  <w:tcW w:w="639" w:type="pct"/>
                  <w:vAlign w:val="center"/>
                </w:tcPr>
                <w:p>
                  <w:pPr>
                    <w:pStyle w:val="236"/>
                    <w:rPr>
                      <w:color w:val="auto"/>
                    </w:rPr>
                  </w:pPr>
                  <w:r>
                    <w:rPr>
                      <w:color w:val="auto"/>
                      <w:lang w:val="en-US"/>
                    </w:rPr>
                    <w:t>其他</w:t>
                  </w:r>
                </w:p>
              </w:tc>
              <w:tc>
                <w:tcPr>
                  <w:tcW w:w="1253" w:type="pct"/>
                  <w:vAlign w:val="center"/>
                </w:tcPr>
                <w:p>
                  <w:pPr>
                    <w:pStyle w:val="236"/>
                    <w:rPr>
                      <w:color w:val="auto"/>
                    </w:rPr>
                  </w:pPr>
                  <w:r>
                    <w:rPr>
                      <w:rFonts w:eastAsia="等线"/>
                      <w:color w:val="auto"/>
                    </w:rPr>
                    <w:t>50</w:t>
                  </w:r>
                </w:p>
              </w:tc>
              <w:tc>
                <w:tcPr>
                  <w:tcW w:w="1253" w:type="pct"/>
                  <w:vAlign w:val="center"/>
                </w:tcPr>
                <w:p>
                  <w:pPr>
                    <w:pStyle w:val="236"/>
                    <w:rPr>
                      <w:color w:val="auto"/>
                    </w:rPr>
                  </w:pPr>
                  <w:r>
                    <w:rPr>
                      <w:rFonts w:eastAsia="等线"/>
                      <w:color w:val="auto"/>
                    </w:rPr>
                    <w:t>100</w:t>
                  </w:r>
                </w:p>
              </w:tc>
              <w:tc>
                <w:tcPr>
                  <w:tcW w:w="1254" w:type="pct"/>
                  <w:vAlign w:val="center"/>
                </w:tcPr>
                <w:p>
                  <w:pPr>
                    <w:pStyle w:val="236"/>
                    <w:rPr>
                      <w:rFonts w:eastAsia="等线"/>
                      <w:color w:val="auto"/>
                    </w:rPr>
                  </w:pPr>
                  <w:r>
                    <w:rPr>
                      <w:rFonts w:eastAsia="等线"/>
                      <w:color w:val="auto"/>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238" w:type="pct"/>
                  <w:gridSpan w:val="2"/>
                  <w:vAlign w:val="center"/>
                </w:tcPr>
                <w:p>
                  <w:pPr>
                    <w:pStyle w:val="236"/>
                    <w:rPr>
                      <w:color w:val="auto"/>
                    </w:rPr>
                  </w:pPr>
                  <w:r>
                    <w:rPr>
                      <w:color w:val="auto"/>
                    </w:rPr>
                    <w:t>镍</w:t>
                  </w:r>
                </w:p>
              </w:tc>
              <w:tc>
                <w:tcPr>
                  <w:tcW w:w="1253" w:type="pct"/>
                  <w:vAlign w:val="center"/>
                </w:tcPr>
                <w:p>
                  <w:pPr>
                    <w:pStyle w:val="236"/>
                    <w:rPr>
                      <w:color w:val="auto"/>
                    </w:rPr>
                  </w:pPr>
                  <w:r>
                    <w:rPr>
                      <w:rFonts w:eastAsia="等线"/>
                      <w:color w:val="auto"/>
                    </w:rPr>
                    <w:t>70</w:t>
                  </w:r>
                </w:p>
              </w:tc>
              <w:tc>
                <w:tcPr>
                  <w:tcW w:w="1253" w:type="pct"/>
                  <w:vAlign w:val="center"/>
                </w:tcPr>
                <w:p>
                  <w:pPr>
                    <w:pStyle w:val="236"/>
                    <w:rPr>
                      <w:color w:val="auto"/>
                    </w:rPr>
                  </w:pPr>
                  <w:r>
                    <w:rPr>
                      <w:rFonts w:eastAsia="等线"/>
                      <w:color w:val="auto"/>
                    </w:rPr>
                    <w:t>100</w:t>
                  </w:r>
                </w:p>
              </w:tc>
              <w:tc>
                <w:tcPr>
                  <w:tcW w:w="1254" w:type="pct"/>
                  <w:vAlign w:val="center"/>
                </w:tcPr>
                <w:p>
                  <w:pPr>
                    <w:pStyle w:val="236"/>
                    <w:rPr>
                      <w:rFonts w:eastAsia="等线"/>
                      <w:color w:val="auto"/>
                    </w:rPr>
                  </w:pPr>
                  <w:r>
                    <w:rPr>
                      <w:rFonts w:eastAsia="等线"/>
                      <w:color w:val="auto"/>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238" w:type="pct"/>
                  <w:gridSpan w:val="2"/>
                  <w:vAlign w:val="center"/>
                </w:tcPr>
                <w:p>
                  <w:pPr>
                    <w:pStyle w:val="236"/>
                    <w:rPr>
                      <w:color w:val="auto"/>
                    </w:rPr>
                  </w:pPr>
                  <w:r>
                    <w:rPr>
                      <w:color w:val="auto"/>
                    </w:rPr>
                    <w:t>锌</w:t>
                  </w:r>
                </w:p>
              </w:tc>
              <w:tc>
                <w:tcPr>
                  <w:tcW w:w="1253" w:type="pct"/>
                  <w:vAlign w:val="center"/>
                </w:tcPr>
                <w:p>
                  <w:pPr>
                    <w:pStyle w:val="236"/>
                    <w:rPr>
                      <w:color w:val="auto"/>
                    </w:rPr>
                  </w:pPr>
                  <w:r>
                    <w:rPr>
                      <w:rFonts w:eastAsia="等线"/>
                      <w:color w:val="auto"/>
                    </w:rPr>
                    <w:t>200</w:t>
                  </w:r>
                </w:p>
              </w:tc>
              <w:tc>
                <w:tcPr>
                  <w:tcW w:w="1253" w:type="pct"/>
                  <w:vAlign w:val="center"/>
                </w:tcPr>
                <w:p>
                  <w:pPr>
                    <w:pStyle w:val="236"/>
                    <w:rPr>
                      <w:color w:val="auto"/>
                    </w:rPr>
                  </w:pPr>
                  <w:r>
                    <w:rPr>
                      <w:rFonts w:eastAsia="等线"/>
                      <w:color w:val="auto"/>
                    </w:rPr>
                    <w:t>250</w:t>
                  </w:r>
                </w:p>
              </w:tc>
              <w:tc>
                <w:tcPr>
                  <w:tcW w:w="1254" w:type="pct"/>
                  <w:vAlign w:val="center"/>
                </w:tcPr>
                <w:p>
                  <w:pPr>
                    <w:pStyle w:val="236"/>
                    <w:rPr>
                      <w:rFonts w:eastAsia="等线"/>
                      <w:color w:val="auto"/>
                    </w:rPr>
                  </w:pPr>
                  <w:r>
                    <w:rPr>
                      <w:rFonts w:eastAsia="等线"/>
                      <w:color w:val="auto"/>
                    </w:rPr>
                    <w:t>300</w:t>
                  </w:r>
                </w:p>
              </w:tc>
            </w:tr>
          </w:tbl>
          <w:p>
            <w:pPr>
              <w:spacing w:line="360" w:lineRule="auto"/>
              <w:rPr>
                <w:b/>
                <w:bCs/>
                <w:color w:val="auto"/>
                <w:sz w:val="24"/>
              </w:rPr>
            </w:pPr>
            <w:r>
              <w:rPr>
                <w:b/>
                <w:bCs/>
                <w:color w:val="auto"/>
                <w:sz w:val="24"/>
              </w:rPr>
              <w:t>二、污染物排放标准</w:t>
            </w:r>
          </w:p>
          <w:p>
            <w:pPr>
              <w:spacing w:line="360" w:lineRule="auto"/>
              <w:ind w:firstLine="482" w:firstLineChars="200"/>
              <w:rPr>
                <w:b/>
                <w:bCs/>
                <w:color w:val="auto"/>
                <w:sz w:val="24"/>
              </w:rPr>
            </w:pPr>
            <w:r>
              <w:rPr>
                <w:b/>
                <w:bCs/>
                <w:color w:val="auto"/>
                <w:sz w:val="24"/>
              </w:rPr>
              <w:t>1、废水</w:t>
            </w:r>
          </w:p>
          <w:p>
            <w:pPr>
              <w:spacing w:line="360" w:lineRule="auto"/>
              <w:ind w:firstLine="480" w:firstLineChars="200"/>
              <w:rPr>
                <w:color w:val="auto"/>
                <w:sz w:val="24"/>
              </w:rPr>
            </w:pPr>
            <w:r>
              <w:rPr>
                <w:color w:val="auto"/>
                <w:sz w:val="24"/>
              </w:rPr>
              <w:t>本项目废水经处理后综合利用，不外排。</w:t>
            </w:r>
          </w:p>
          <w:p>
            <w:pPr>
              <w:spacing w:line="360" w:lineRule="auto"/>
              <w:ind w:firstLine="482" w:firstLineChars="200"/>
              <w:rPr>
                <w:b/>
                <w:bCs/>
                <w:color w:val="auto"/>
                <w:sz w:val="24"/>
              </w:rPr>
            </w:pPr>
            <w:r>
              <w:rPr>
                <w:b/>
                <w:bCs/>
                <w:color w:val="auto"/>
                <w:sz w:val="24"/>
              </w:rPr>
              <w:t>2、废气</w:t>
            </w:r>
          </w:p>
          <w:p>
            <w:pPr>
              <w:spacing w:line="360" w:lineRule="auto"/>
              <w:ind w:firstLine="480" w:firstLineChars="200"/>
              <w:rPr>
                <w:color w:val="auto"/>
                <w:sz w:val="24"/>
              </w:rPr>
            </w:pPr>
            <w:r>
              <w:rPr>
                <w:color w:val="auto"/>
                <w:sz w:val="24"/>
              </w:rPr>
              <w:t>施工期：扬尘执行《四川省施工场地扬尘排放标准》（DB51/2682 -2020）表1中广元市限值要求，标准见下表。</w:t>
            </w:r>
          </w:p>
          <w:p>
            <w:pPr>
              <w:widowControl/>
              <w:numPr>
                <w:ilvl w:val="0"/>
                <w:numId w:val="8"/>
              </w:numPr>
              <w:adjustRightInd w:val="0"/>
              <w:snapToGrid w:val="0"/>
              <w:jc w:val="center"/>
              <w:rPr>
                <w:b/>
                <w:color w:val="auto"/>
                <w:szCs w:val="18"/>
              </w:rPr>
            </w:pPr>
            <w:r>
              <w:rPr>
                <w:b/>
                <w:color w:val="auto"/>
                <w:szCs w:val="18"/>
              </w:rPr>
              <w:t>施工期废气执行标准</w:t>
            </w:r>
          </w:p>
          <w:tbl>
            <w:tblPr>
              <w:tblStyle w:val="3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1"/>
              <w:gridCol w:w="803"/>
              <w:gridCol w:w="920"/>
              <w:gridCol w:w="1575"/>
              <w:gridCol w:w="1302"/>
              <w:gridCol w:w="1543"/>
              <w:gridCol w:w="19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 w:type="pct"/>
                  <w:vAlign w:val="center"/>
                </w:tcPr>
                <w:p>
                  <w:pPr>
                    <w:widowControl/>
                    <w:adjustRightInd w:val="0"/>
                    <w:snapToGrid w:val="0"/>
                    <w:spacing w:before="48" w:beforeLines="20" w:after="48" w:afterLines="20"/>
                    <w:jc w:val="center"/>
                    <w:rPr>
                      <w:b/>
                      <w:color w:val="auto"/>
                      <w:szCs w:val="21"/>
                    </w:rPr>
                  </w:pPr>
                  <w:r>
                    <w:rPr>
                      <w:b/>
                      <w:color w:val="auto"/>
                      <w:szCs w:val="21"/>
                    </w:rPr>
                    <w:t>序号</w:t>
                  </w:r>
                </w:p>
              </w:tc>
              <w:tc>
                <w:tcPr>
                  <w:tcW w:w="474" w:type="pct"/>
                  <w:vAlign w:val="center"/>
                </w:tcPr>
                <w:p>
                  <w:pPr>
                    <w:widowControl/>
                    <w:adjustRightInd w:val="0"/>
                    <w:snapToGrid w:val="0"/>
                    <w:spacing w:before="48" w:beforeLines="20" w:after="48" w:afterLines="20"/>
                    <w:jc w:val="center"/>
                    <w:rPr>
                      <w:b/>
                      <w:color w:val="auto"/>
                      <w:szCs w:val="21"/>
                    </w:rPr>
                  </w:pPr>
                  <w:r>
                    <w:rPr>
                      <w:b/>
                      <w:color w:val="auto"/>
                      <w:szCs w:val="21"/>
                    </w:rPr>
                    <w:t>污染物</w:t>
                  </w:r>
                </w:p>
              </w:tc>
              <w:tc>
                <w:tcPr>
                  <w:tcW w:w="543" w:type="pct"/>
                  <w:vAlign w:val="center"/>
                </w:tcPr>
                <w:p>
                  <w:pPr>
                    <w:widowControl/>
                    <w:adjustRightInd w:val="0"/>
                    <w:snapToGrid w:val="0"/>
                    <w:spacing w:before="48" w:beforeLines="20" w:after="48" w:afterLines="20"/>
                    <w:jc w:val="center"/>
                    <w:rPr>
                      <w:b/>
                      <w:color w:val="auto"/>
                      <w:szCs w:val="21"/>
                    </w:rPr>
                  </w:pPr>
                  <w:r>
                    <w:rPr>
                      <w:b/>
                      <w:color w:val="auto"/>
                      <w:szCs w:val="21"/>
                    </w:rPr>
                    <w:t>监控点</w:t>
                  </w:r>
                </w:p>
              </w:tc>
              <w:tc>
                <w:tcPr>
                  <w:tcW w:w="930" w:type="pct"/>
                  <w:vAlign w:val="center"/>
                </w:tcPr>
                <w:p>
                  <w:pPr>
                    <w:widowControl/>
                    <w:adjustRightInd w:val="0"/>
                    <w:snapToGrid w:val="0"/>
                    <w:spacing w:before="48" w:beforeLines="20" w:after="48" w:afterLines="20"/>
                    <w:jc w:val="center"/>
                    <w:rPr>
                      <w:b/>
                      <w:color w:val="auto"/>
                      <w:szCs w:val="21"/>
                    </w:rPr>
                  </w:pPr>
                  <w:r>
                    <w:rPr>
                      <w:b/>
                      <w:color w:val="auto"/>
                      <w:szCs w:val="21"/>
                    </w:rPr>
                    <w:t>施工阶段</w:t>
                  </w:r>
                </w:p>
              </w:tc>
              <w:tc>
                <w:tcPr>
                  <w:tcW w:w="769" w:type="pct"/>
                  <w:vAlign w:val="center"/>
                </w:tcPr>
                <w:p>
                  <w:pPr>
                    <w:widowControl/>
                    <w:adjustRightInd w:val="0"/>
                    <w:snapToGrid w:val="0"/>
                    <w:spacing w:before="48" w:beforeLines="20" w:after="48" w:afterLines="20"/>
                    <w:jc w:val="center"/>
                    <w:rPr>
                      <w:b/>
                      <w:color w:val="auto"/>
                      <w:szCs w:val="21"/>
                    </w:rPr>
                  </w:pPr>
                  <w:r>
                    <w:rPr>
                      <w:b/>
                      <w:color w:val="auto"/>
                      <w:szCs w:val="21"/>
                    </w:rPr>
                    <w:t>排放限值</w:t>
                  </w:r>
                </w:p>
                <w:p>
                  <w:pPr>
                    <w:widowControl/>
                    <w:adjustRightInd w:val="0"/>
                    <w:snapToGrid w:val="0"/>
                    <w:spacing w:before="48" w:beforeLines="20" w:after="48" w:afterLines="20"/>
                    <w:jc w:val="center"/>
                    <w:rPr>
                      <w:b/>
                      <w:color w:val="auto"/>
                      <w:szCs w:val="21"/>
                    </w:rPr>
                  </w:pPr>
                  <w:r>
                    <w:rPr>
                      <w:b/>
                      <w:color w:val="auto"/>
                      <w:szCs w:val="21"/>
                    </w:rPr>
                    <w:t>（mg/m</w:t>
                  </w:r>
                  <w:r>
                    <w:rPr>
                      <w:b/>
                      <w:color w:val="auto"/>
                      <w:szCs w:val="21"/>
                      <w:vertAlign w:val="superscript"/>
                    </w:rPr>
                    <w:t>3</w:t>
                  </w:r>
                  <w:r>
                    <w:rPr>
                      <w:b/>
                      <w:color w:val="auto"/>
                      <w:szCs w:val="21"/>
                    </w:rPr>
                    <w:t>）</w:t>
                  </w:r>
                </w:p>
              </w:tc>
              <w:tc>
                <w:tcPr>
                  <w:tcW w:w="911" w:type="pct"/>
                  <w:vAlign w:val="center"/>
                </w:tcPr>
                <w:p>
                  <w:pPr>
                    <w:widowControl/>
                    <w:adjustRightInd w:val="0"/>
                    <w:snapToGrid w:val="0"/>
                    <w:spacing w:before="48" w:beforeLines="20" w:after="48" w:afterLines="20"/>
                    <w:jc w:val="center"/>
                    <w:rPr>
                      <w:b/>
                      <w:color w:val="auto"/>
                      <w:szCs w:val="21"/>
                    </w:rPr>
                  </w:pPr>
                  <w:r>
                    <w:rPr>
                      <w:b/>
                      <w:color w:val="auto"/>
                      <w:szCs w:val="21"/>
                    </w:rPr>
                    <w:t>监测时间</w:t>
                  </w:r>
                </w:p>
              </w:tc>
              <w:tc>
                <w:tcPr>
                  <w:tcW w:w="1124" w:type="pct"/>
                  <w:vAlign w:val="center"/>
                </w:tcPr>
                <w:p>
                  <w:pPr>
                    <w:widowControl/>
                    <w:adjustRightInd w:val="0"/>
                    <w:snapToGrid w:val="0"/>
                    <w:spacing w:before="48" w:beforeLines="20" w:after="48" w:afterLines="20"/>
                    <w:jc w:val="center"/>
                    <w:rPr>
                      <w:b/>
                      <w:color w:val="auto"/>
                      <w:szCs w:val="21"/>
                    </w:rPr>
                  </w:pPr>
                  <w:r>
                    <w:rPr>
                      <w:b/>
                      <w:color w:val="auto"/>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49" w:type="pct"/>
                  <w:vMerge w:val="restart"/>
                  <w:vAlign w:val="center"/>
                </w:tcPr>
                <w:p>
                  <w:pPr>
                    <w:widowControl/>
                    <w:adjustRightInd w:val="0"/>
                    <w:snapToGrid w:val="0"/>
                    <w:spacing w:before="48" w:beforeLines="20" w:after="48" w:afterLines="20"/>
                    <w:jc w:val="center"/>
                    <w:rPr>
                      <w:color w:val="auto"/>
                      <w:szCs w:val="21"/>
                    </w:rPr>
                  </w:pPr>
                  <w:r>
                    <w:rPr>
                      <w:color w:val="auto"/>
                      <w:szCs w:val="21"/>
                    </w:rPr>
                    <w:t>1</w:t>
                  </w:r>
                </w:p>
              </w:tc>
              <w:tc>
                <w:tcPr>
                  <w:tcW w:w="474" w:type="pct"/>
                  <w:vMerge w:val="restart"/>
                  <w:vAlign w:val="center"/>
                </w:tcPr>
                <w:p>
                  <w:pPr>
                    <w:widowControl/>
                    <w:adjustRightInd w:val="0"/>
                    <w:snapToGrid w:val="0"/>
                    <w:spacing w:before="48" w:beforeLines="20" w:after="48" w:afterLines="20"/>
                    <w:jc w:val="center"/>
                    <w:rPr>
                      <w:color w:val="auto"/>
                      <w:szCs w:val="21"/>
                    </w:rPr>
                  </w:pPr>
                  <w:r>
                    <w:rPr>
                      <w:color w:val="auto"/>
                      <w:szCs w:val="21"/>
                    </w:rPr>
                    <w:t>施工扬尘</w:t>
                  </w:r>
                </w:p>
              </w:tc>
              <w:tc>
                <w:tcPr>
                  <w:tcW w:w="543" w:type="pct"/>
                  <w:vMerge w:val="restart"/>
                  <w:vAlign w:val="center"/>
                </w:tcPr>
                <w:p>
                  <w:pPr>
                    <w:widowControl/>
                    <w:adjustRightInd w:val="0"/>
                    <w:snapToGrid w:val="0"/>
                    <w:spacing w:before="48" w:beforeLines="20" w:after="48" w:afterLines="20"/>
                    <w:jc w:val="center"/>
                    <w:rPr>
                      <w:color w:val="auto"/>
                      <w:szCs w:val="21"/>
                    </w:rPr>
                  </w:pPr>
                  <w:r>
                    <w:rPr>
                      <w:color w:val="auto"/>
                      <w:szCs w:val="21"/>
                    </w:rPr>
                    <w:t>周界外浓度最高点</w:t>
                  </w:r>
                </w:p>
              </w:tc>
              <w:tc>
                <w:tcPr>
                  <w:tcW w:w="930" w:type="pct"/>
                  <w:vAlign w:val="center"/>
                </w:tcPr>
                <w:p>
                  <w:pPr>
                    <w:widowControl/>
                    <w:adjustRightInd w:val="0"/>
                    <w:snapToGrid w:val="0"/>
                    <w:spacing w:before="48" w:beforeLines="20" w:after="48" w:afterLines="20"/>
                    <w:jc w:val="center"/>
                    <w:rPr>
                      <w:color w:val="auto"/>
                      <w:szCs w:val="21"/>
                    </w:rPr>
                  </w:pPr>
                  <w:r>
                    <w:rPr>
                      <w:color w:val="auto"/>
                      <w:szCs w:val="21"/>
                    </w:rPr>
                    <w:t>拆除、土方开挖、土方回填阶段</w:t>
                  </w:r>
                </w:p>
              </w:tc>
              <w:tc>
                <w:tcPr>
                  <w:tcW w:w="769" w:type="pct"/>
                  <w:vAlign w:val="center"/>
                </w:tcPr>
                <w:p>
                  <w:pPr>
                    <w:widowControl/>
                    <w:adjustRightInd w:val="0"/>
                    <w:snapToGrid w:val="0"/>
                    <w:spacing w:before="48" w:beforeLines="20" w:after="48" w:afterLines="20"/>
                    <w:jc w:val="center"/>
                    <w:rPr>
                      <w:color w:val="auto"/>
                      <w:szCs w:val="21"/>
                    </w:rPr>
                  </w:pPr>
                  <w:r>
                    <w:rPr>
                      <w:color w:val="auto"/>
                      <w:szCs w:val="21"/>
                    </w:rPr>
                    <w:t>≤0.6</w:t>
                  </w:r>
                </w:p>
              </w:tc>
              <w:tc>
                <w:tcPr>
                  <w:tcW w:w="911" w:type="pct"/>
                  <w:vMerge w:val="restart"/>
                  <w:vAlign w:val="center"/>
                </w:tcPr>
                <w:p>
                  <w:pPr>
                    <w:widowControl/>
                    <w:adjustRightInd w:val="0"/>
                    <w:snapToGrid w:val="0"/>
                    <w:spacing w:before="48" w:beforeLines="20" w:after="48" w:afterLines="20"/>
                    <w:jc w:val="center"/>
                    <w:rPr>
                      <w:color w:val="auto"/>
                      <w:szCs w:val="21"/>
                    </w:rPr>
                  </w:pPr>
                  <w:r>
                    <w:rPr>
                      <w:color w:val="auto"/>
                      <w:szCs w:val="21"/>
                    </w:rPr>
                    <w:t>自监测起连续15分钟均值</w:t>
                  </w:r>
                </w:p>
              </w:tc>
              <w:tc>
                <w:tcPr>
                  <w:tcW w:w="1124" w:type="pct"/>
                  <w:vMerge w:val="restart"/>
                  <w:vAlign w:val="center"/>
                </w:tcPr>
                <w:p>
                  <w:pPr>
                    <w:widowControl/>
                    <w:adjustRightInd w:val="0"/>
                    <w:snapToGrid w:val="0"/>
                    <w:spacing w:before="48" w:beforeLines="20" w:after="48" w:afterLines="20"/>
                    <w:jc w:val="center"/>
                    <w:rPr>
                      <w:color w:val="auto"/>
                      <w:szCs w:val="21"/>
                    </w:rPr>
                  </w:pPr>
                  <w:r>
                    <w:rPr>
                      <w:color w:val="auto"/>
                      <w:szCs w:val="21"/>
                    </w:rPr>
                    <w:t>《四川省施工场地扬尘排放标准》（DB51/2682 -2020）表1中广元市限值要求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49" w:type="pct"/>
                  <w:vMerge w:val="continue"/>
                  <w:vAlign w:val="center"/>
                </w:tcPr>
                <w:p>
                  <w:pPr>
                    <w:widowControl/>
                    <w:adjustRightInd w:val="0"/>
                    <w:snapToGrid w:val="0"/>
                    <w:spacing w:before="48" w:beforeLines="20" w:after="48" w:afterLines="20"/>
                    <w:jc w:val="center"/>
                    <w:rPr>
                      <w:color w:val="auto"/>
                      <w:szCs w:val="21"/>
                    </w:rPr>
                  </w:pPr>
                </w:p>
              </w:tc>
              <w:tc>
                <w:tcPr>
                  <w:tcW w:w="474" w:type="pct"/>
                  <w:vMerge w:val="continue"/>
                  <w:vAlign w:val="center"/>
                </w:tcPr>
                <w:p>
                  <w:pPr>
                    <w:widowControl/>
                    <w:adjustRightInd w:val="0"/>
                    <w:snapToGrid w:val="0"/>
                    <w:spacing w:before="48" w:beforeLines="20" w:after="48" w:afterLines="20"/>
                    <w:jc w:val="center"/>
                    <w:rPr>
                      <w:color w:val="auto"/>
                      <w:szCs w:val="21"/>
                    </w:rPr>
                  </w:pPr>
                </w:p>
              </w:tc>
              <w:tc>
                <w:tcPr>
                  <w:tcW w:w="543" w:type="pct"/>
                  <w:vMerge w:val="continue"/>
                  <w:vAlign w:val="center"/>
                </w:tcPr>
                <w:p>
                  <w:pPr>
                    <w:widowControl/>
                    <w:adjustRightInd w:val="0"/>
                    <w:snapToGrid w:val="0"/>
                    <w:spacing w:before="48" w:beforeLines="20" w:after="48" w:afterLines="20"/>
                    <w:jc w:val="center"/>
                    <w:rPr>
                      <w:color w:val="auto"/>
                      <w:szCs w:val="21"/>
                    </w:rPr>
                  </w:pPr>
                </w:p>
              </w:tc>
              <w:tc>
                <w:tcPr>
                  <w:tcW w:w="930" w:type="pct"/>
                  <w:vAlign w:val="center"/>
                </w:tcPr>
                <w:p>
                  <w:pPr>
                    <w:widowControl/>
                    <w:adjustRightInd w:val="0"/>
                    <w:snapToGrid w:val="0"/>
                    <w:spacing w:before="48" w:beforeLines="20" w:after="48" w:afterLines="20"/>
                    <w:jc w:val="center"/>
                    <w:rPr>
                      <w:color w:val="auto"/>
                      <w:szCs w:val="21"/>
                    </w:rPr>
                  </w:pPr>
                  <w:r>
                    <w:rPr>
                      <w:color w:val="auto"/>
                      <w:szCs w:val="21"/>
                    </w:rPr>
                    <w:t>其他工程</w:t>
                  </w:r>
                </w:p>
              </w:tc>
              <w:tc>
                <w:tcPr>
                  <w:tcW w:w="769" w:type="pct"/>
                  <w:vAlign w:val="center"/>
                </w:tcPr>
                <w:p>
                  <w:pPr>
                    <w:widowControl/>
                    <w:adjustRightInd w:val="0"/>
                    <w:snapToGrid w:val="0"/>
                    <w:spacing w:before="48" w:beforeLines="20" w:after="48" w:afterLines="20"/>
                    <w:jc w:val="center"/>
                    <w:rPr>
                      <w:color w:val="auto"/>
                      <w:szCs w:val="21"/>
                    </w:rPr>
                  </w:pPr>
                  <w:r>
                    <w:rPr>
                      <w:color w:val="auto"/>
                      <w:szCs w:val="21"/>
                    </w:rPr>
                    <w:t>0.25</w:t>
                  </w:r>
                </w:p>
              </w:tc>
              <w:tc>
                <w:tcPr>
                  <w:tcW w:w="911" w:type="pct"/>
                  <w:vMerge w:val="continue"/>
                  <w:vAlign w:val="center"/>
                </w:tcPr>
                <w:p>
                  <w:pPr>
                    <w:widowControl/>
                    <w:adjustRightInd w:val="0"/>
                    <w:snapToGrid w:val="0"/>
                    <w:spacing w:before="48" w:beforeLines="20" w:after="48" w:afterLines="20"/>
                    <w:jc w:val="center"/>
                    <w:rPr>
                      <w:color w:val="auto"/>
                      <w:szCs w:val="21"/>
                    </w:rPr>
                  </w:pPr>
                </w:p>
              </w:tc>
              <w:tc>
                <w:tcPr>
                  <w:tcW w:w="1124" w:type="pct"/>
                  <w:vMerge w:val="continue"/>
                  <w:vAlign w:val="center"/>
                </w:tcPr>
                <w:p>
                  <w:pPr>
                    <w:widowControl/>
                    <w:adjustRightInd w:val="0"/>
                    <w:snapToGrid w:val="0"/>
                    <w:spacing w:before="48" w:beforeLines="20" w:after="48" w:afterLines="20"/>
                    <w:jc w:val="center"/>
                    <w:rPr>
                      <w:color w:val="auto"/>
                      <w:szCs w:val="21"/>
                    </w:rPr>
                  </w:pPr>
                </w:p>
              </w:tc>
            </w:tr>
          </w:tbl>
          <w:p>
            <w:pPr>
              <w:spacing w:line="360" w:lineRule="auto"/>
              <w:ind w:firstLine="480" w:firstLineChars="200"/>
              <w:rPr>
                <w:color w:val="auto"/>
                <w:sz w:val="24"/>
              </w:rPr>
            </w:pPr>
            <w:r>
              <w:rPr>
                <w:color w:val="auto"/>
                <w:sz w:val="24"/>
              </w:rPr>
              <w:t>营运期：营运期无废气排放。</w:t>
            </w:r>
          </w:p>
          <w:p>
            <w:pPr>
              <w:spacing w:line="360" w:lineRule="auto"/>
              <w:ind w:firstLine="482" w:firstLineChars="200"/>
              <w:rPr>
                <w:color w:val="auto"/>
                <w:sz w:val="24"/>
              </w:rPr>
            </w:pPr>
            <w:r>
              <w:rPr>
                <w:b/>
                <w:bCs/>
                <w:color w:val="auto"/>
                <w:sz w:val="24"/>
              </w:rPr>
              <w:t>3、噪声</w:t>
            </w:r>
          </w:p>
          <w:p>
            <w:pPr>
              <w:spacing w:line="360" w:lineRule="auto"/>
              <w:ind w:firstLine="480" w:firstLineChars="200"/>
              <w:rPr>
                <w:color w:val="auto"/>
                <w:sz w:val="24"/>
              </w:rPr>
            </w:pPr>
            <w:r>
              <w:rPr>
                <w:color w:val="auto"/>
                <w:sz w:val="24"/>
              </w:rPr>
              <w:t>本项目施工期噪声执行《建筑施工场界环境噪声排放标准》(GB12523-2011)标准。具体要求如下。</w:t>
            </w:r>
          </w:p>
          <w:p>
            <w:pPr>
              <w:widowControl/>
              <w:numPr>
                <w:ilvl w:val="0"/>
                <w:numId w:val="8"/>
              </w:numPr>
              <w:adjustRightInd w:val="0"/>
              <w:snapToGrid w:val="0"/>
              <w:jc w:val="center"/>
              <w:rPr>
                <w:b/>
                <w:color w:val="auto"/>
                <w:szCs w:val="18"/>
              </w:rPr>
            </w:pPr>
            <w:r>
              <w:rPr>
                <w:b/>
                <w:color w:val="auto"/>
                <w:szCs w:val="18"/>
              </w:rPr>
              <w:t>施工期噪声标准   单位：dB（A）</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87"/>
              <w:gridCol w:w="879"/>
              <w:gridCol w:w="877"/>
              <w:gridCol w:w="44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350" w:type="pct"/>
                  <w:tcBorders>
                    <w:tl2br w:val="single" w:color="auto" w:sz="4" w:space="0"/>
                  </w:tcBorders>
                </w:tcPr>
                <w:p>
                  <w:pPr>
                    <w:widowControl/>
                    <w:jc w:val="center"/>
                    <w:rPr>
                      <w:b/>
                      <w:color w:val="auto"/>
                      <w:szCs w:val="21"/>
                    </w:rPr>
                  </w:pPr>
                  <w:r>
                    <w:rPr>
                      <w:b/>
                      <w:color w:val="auto"/>
                      <w:szCs w:val="21"/>
                    </w:rPr>
                    <w:t xml:space="preserve">   时段</w:t>
                  </w:r>
                </w:p>
                <w:p>
                  <w:pPr>
                    <w:widowControl/>
                    <w:rPr>
                      <w:b/>
                      <w:color w:val="auto"/>
                      <w:szCs w:val="21"/>
                    </w:rPr>
                  </w:pPr>
                  <w:r>
                    <w:rPr>
                      <w:b/>
                      <w:color w:val="auto"/>
                      <w:szCs w:val="21"/>
                    </w:rPr>
                    <w:t>阶段</w:t>
                  </w:r>
                </w:p>
              </w:tc>
              <w:tc>
                <w:tcPr>
                  <w:tcW w:w="519" w:type="pct"/>
                  <w:vAlign w:val="center"/>
                </w:tcPr>
                <w:p>
                  <w:pPr>
                    <w:widowControl/>
                    <w:jc w:val="center"/>
                    <w:rPr>
                      <w:b/>
                      <w:color w:val="auto"/>
                      <w:szCs w:val="21"/>
                    </w:rPr>
                  </w:pPr>
                  <w:r>
                    <w:rPr>
                      <w:b/>
                      <w:color w:val="auto"/>
                      <w:szCs w:val="21"/>
                    </w:rPr>
                    <w:t>昼间</w:t>
                  </w:r>
                </w:p>
              </w:tc>
              <w:tc>
                <w:tcPr>
                  <w:tcW w:w="518" w:type="pct"/>
                  <w:tcBorders>
                    <w:right w:val="single" w:color="auto" w:sz="4" w:space="0"/>
                  </w:tcBorders>
                  <w:vAlign w:val="center"/>
                </w:tcPr>
                <w:p>
                  <w:pPr>
                    <w:widowControl/>
                    <w:jc w:val="center"/>
                    <w:rPr>
                      <w:b/>
                      <w:color w:val="auto"/>
                      <w:szCs w:val="21"/>
                    </w:rPr>
                  </w:pPr>
                  <w:r>
                    <w:rPr>
                      <w:b/>
                      <w:color w:val="auto"/>
                      <w:szCs w:val="21"/>
                    </w:rPr>
                    <w:t>夜间</w:t>
                  </w:r>
                </w:p>
              </w:tc>
              <w:tc>
                <w:tcPr>
                  <w:tcW w:w="2613" w:type="pct"/>
                  <w:tcBorders>
                    <w:left w:val="single" w:color="auto" w:sz="4" w:space="0"/>
                  </w:tcBorders>
                  <w:vAlign w:val="center"/>
                </w:tcPr>
                <w:p>
                  <w:pPr>
                    <w:widowControl/>
                    <w:jc w:val="center"/>
                    <w:rPr>
                      <w:b/>
                      <w:color w:val="auto"/>
                      <w:szCs w:val="21"/>
                    </w:rPr>
                  </w:pPr>
                  <w:r>
                    <w:rPr>
                      <w:b/>
                      <w:color w:val="auto"/>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1350" w:type="pct"/>
                  <w:vAlign w:val="center"/>
                </w:tcPr>
                <w:p>
                  <w:pPr>
                    <w:widowControl/>
                    <w:jc w:val="center"/>
                    <w:rPr>
                      <w:color w:val="auto"/>
                      <w:szCs w:val="21"/>
                    </w:rPr>
                  </w:pPr>
                  <w:r>
                    <w:rPr>
                      <w:color w:val="auto"/>
                      <w:szCs w:val="21"/>
                    </w:rPr>
                    <w:t>施工期</w:t>
                  </w:r>
                </w:p>
              </w:tc>
              <w:tc>
                <w:tcPr>
                  <w:tcW w:w="519" w:type="pct"/>
                  <w:vAlign w:val="center"/>
                </w:tcPr>
                <w:p>
                  <w:pPr>
                    <w:widowControl/>
                    <w:jc w:val="center"/>
                    <w:rPr>
                      <w:color w:val="auto"/>
                      <w:szCs w:val="21"/>
                    </w:rPr>
                  </w:pPr>
                  <w:r>
                    <w:rPr>
                      <w:color w:val="auto"/>
                      <w:szCs w:val="21"/>
                    </w:rPr>
                    <w:t>70</w:t>
                  </w:r>
                </w:p>
              </w:tc>
              <w:tc>
                <w:tcPr>
                  <w:tcW w:w="518" w:type="pct"/>
                  <w:tcBorders>
                    <w:right w:val="single" w:color="auto" w:sz="4" w:space="0"/>
                  </w:tcBorders>
                  <w:vAlign w:val="center"/>
                </w:tcPr>
                <w:p>
                  <w:pPr>
                    <w:widowControl/>
                    <w:jc w:val="center"/>
                    <w:rPr>
                      <w:color w:val="auto"/>
                      <w:szCs w:val="21"/>
                    </w:rPr>
                  </w:pPr>
                  <w:r>
                    <w:rPr>
                      <w:color w:val="auto"/>
                      <w:szCs w:val="21"/>
                    </w:rPr>
                    <w:t>55</w:t>
                  </w:r>
                </w:p>
              </w:tc>
              <w:tc>
                <w:tcPr>
                  <w:tcW w:w="2613" w:type="pct"/>
                  <w:tcBorders>
                    <w:left w:val="single" w:color="auto" w:sz="4" w:space="0"/>
                  </w:tcBorders>
                  <w:vAlign w:val="center"/>
                </w:tcPr>
                <w:p>
                  <w:pPr>
                    <w:widowControl/>
                    <w:jc w:val="center"/>
                    <w:rPr>
                      <w:color w:val="auto"/>
                      <w:szCs w:val="21"/>
                    </w:rPr>
                  </w:pPr>
                  <w:r>
                    <w:rPr>
                      <w:color w:val="auto"/>
                      <w:szCs w:val="21"/>
                    </w:rPr>
                    <w:t>施工期场界噪声执行《建筑施工场界环境噪声排放标准》(GB12523-2011)标准。</w:t>
                  </w:r>
                </w:p>
              </w:tc>
            </w:tr>
          </w:tbl>
          <w:p>
            <w:pPr>
              <w:spacing w:line="360" w:lineRule="auto"/>
              <w:ind w:firstLine="482" w:firstLineChars="200"/>
              <w:rPr>
                <w:b/>
                <w:bCs/>
                <w:color w:val="auto"/>
                <w:sz w:val="24"/>
              </w:rPr>
            </w:pPr>
            <w:r>
              <w:rPr>
                <w:b/>
                <w:bCs/>
                <w:color w:val="auto"/>
                <w:sz w:val="24"/>
              </w:rPr>
              <w:t>4、固废</w:t>
            </w:r>
          </w:p>
          <w:p>
            <w:pPr>
              <w:spacing w:line="360" w:lineRule="auto"/>
              <w:ind w:firstLine="480" w:firstLineChars="200"/>
              <w:rPr>
                <w:color w:val="auto"/>
                <w:kern w:val="0"/>
                <w:szCs w:val="21"/>
              </w:rPr>
            </w:pPr>
            <w:r>
              <w:rPr>
                <w:color w:val="auto"/>
                <w:sz w:val="24"/>
              </w:rPr>
              <w:t>一般工业固体废弃物其贮存过程应满足相应防渗漏、防雨淋、防扬尘等环境保护要求。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58" w:hRule="atLeast"/>
          <w:jc w:val="center"/>
        </w:trPr>
        <w:tc>
          <w:tcPr>
            <w:tcW w:w="473" w:type="dxa"/>
            <w:vAlign w:val="center"/>
          </w:tcPr>
          <w:p>
            <w:pPr>
              <w:adjustRightInd w:val="0"/>
              <w:snapToGrid w:val="0"/>
              <w:jc w:val="center"/>
              <w:rPr>
                <w:color w:val="auto"/>
                <w:kern w:val="0"/>
                <w:sz w:val="24"/>
              </w:rPr>
            </w:pPr>
            <w:r>
              <w:rPr>
                <w:color w:val="auto"/>
                <w:kern w:val="0"/>
                <w:sz w:val="24"/>
              </w:rPr>
              <w:t>其他</w:t>
            </w:r>
          </w:p>
        </w:tc>
        <w:tc>
          <w:tcPr>
            <w:tcW w:w="8684" w:type="dxa"/>
            <w:vAlign w:val="center"/>
          </w:tcPr>
          <w:p>
            <w:pPr>
              <w:adjustRightInd w:val="0"/>
              <w:snapToGrid w:val="0"/>
              <w:spacing w:line="360" w:lineRule="auto"/>
              <w:ind w:firstLine="480" w:firstLineChars="200"/>
              <w:jc w:val="left"/>
              <w:rPr>
                <w:color w:val="auto"/>
              </w:rPr>
            </w:pPr>
            <w:r>
              <w:rPr>
                <w:color w:val="auto"/>
                <w:sz w:val="24"/>
              </w:rPr>
              <w:t>本项目属于生态影响型项目，项目运营期自身不产生大气污染物和水污染物。因此，本项目不设置总量控制指标。</w:t>
            </w:r>
          </w:p>
        </w:tc>
      </w:tr>
    </w:tbl>
    <w:p>
      <w:pPr>
        <w:widowControl/>
        <w:adjustRightInd w:val="0"/>
        <w:snapToGrid w:val="0"/>
        <w:spacing w:line="160" w:lineRule="atLeast"/>
        <w:jc w:val="left"/>
        <w:rPr>
          <w:color w:val="auto"/>
          <w:sz w:val="24"/>
        </w:rPr>
        <w:sectPr>
          <w:pgSz w:w="11906" w:h="16838"/>
          <w:pgMar w:top="1440" w:right="1800" w:bottom="1440" w:left="1800" w:header="851" w:footer="1077" w:gutter="0"/>
          <w:cols w:space="425" w:num="1"/>
          <w:docGrid w:linePitch="312" w:charSpace="0"/>
        </w:sectPr>
      </w:pPr>
    </w:p>
    <w:p>
      <w:pPr>
        <w:pStyle w:val="3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四、生态环境影响分析</w:t>
      </w:r>
    </w:p>
    <w:tbl>
      <w:tblPr>
        <w:tblStyle w:val="36"/>
        <w:tblW w:w="926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83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006" w:hRule="atLeast"/>
          <w:jc w:val="center"/>
        </w:trPr>
        <w:tc>
          <w:tcPr>
            <w:tcW w:w="927" w:type="dxa"/>
            <w:tcMar>
              <w:left w:w="28" w:type="dxa"/>
              <w:right w:w="28" w:type="dxa"/>
            </w:tcMar>
            <w:vAlign w:val="center"/>
          </w:tcPr>
          <w:p>
            <w:pPr>
              <w:pStyle w:val="31"/>
              <w:adjustRightInd w:val="0"/>
              <w:snapToGrid w:val="0"/>
              <w:spacing w:before="0" w:beforeAutospacing="0" w:after="0" w:afterAutospacing="0"/>
              <w:jc w:val="center"/>
              <w:rPr>
                <w:rFonts w:ascii="Times New Roman" w:hAnsi="Times New Roman"/>
                <w:bCs/>
                <w:color w:val="auto"/>
                <w:kern w:val="2"/>
              </w:rPr>
            </w:pPr>
            <w:bookmarkStart w:id="14" w:name="_Hlk49796138"/>
            <w:r>
              <w:rPr>
                <w:rFonts w:ascii="Times New Roman" w:hAnsi="Times New Roman"/>
                <w:bCs/>
                <w:color w:val="auto"/>
                <w:spacing w:val="10"/>
                <w:kern w:val="2"/>
              </w:rPr>
              <w:t>施工期生态环境影响分析</w:t>
            </w:r>
            <w:bookmarkEnd w:id="14"/>
          </w:p>
        </w:tc>
        <w:tc>
          <w:tcPr>
            <w:tcW w:w="8340" w:type="dxa"/>
          </w:tcPr>
          <w:p>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本项目施工期已基本结束，本次评价对施工单位已采取的环保措施进行总结，对施工期影响分析进行回顾性评价。剩余工程主要为堤防植草护坡等，基本不会对周边环境造成影响</w:t>
            </w:r>
            <w:r>
              <w:rPr>
                <w:rFonts w:ascii="Times New Roman" w:hAnsi="Times New Roman" w:eastAsia="宋体" w:cs="Times New Roman"/>
                <w:color w:val="auto"/>
                <w:sz w:val="24"/>
              </w:rPr>
              <w:t>。</w:t>
            </w:r>
          </w:p>
          <w:p>
            <w:pPr>
              <w:spacing w:line="360" w:lineRule="auto"/>
              <w:rPr>
                <w:b/>
                <w:color w:val="auto"/>
                <w:spacing w:val="-10"/>
                <w:sz w:val="24"/>
              </w:rPr>
            </w:pPr>
            <w:r>
              <w:rPr>
                <w:b/>
                <w:color w:val="auto"/>
                <w:spacing w:val="-10"/>
                <w:sz w:val="24"/>
              </w:rPr>
              <w:t>一、施工期生态影响分析</w:t>
            </w:r>
          </w:p>
          <w:p>
            <w:pPr>
              <w:adjustRightInd w:val="0"/>
              <w:snapToGrid w:val="0"/>
              <w:spacing w:line="360" w:lineRule="auto"/>
              <w:ind w:firstLine="482"/>
              <w:rPr>
                <w:b/>
                <w:color w:val="auto"/>
                <w:sz w:val="24"/>
              </w:rPr>
            </w:pPr>
            <w:r>
              <w:rPr>
                <w:b/>
                <w:color w:val="auto"/>
                <w:sz w:val="24"/>
              </w:rPr>
              <w:t>1、生态影响识别</w:t>
            </w:r>
          </w:p>
          <w:p>
            <w:pPr>
              <w:spacing w:line="360" w:lineRule="auto"/>
              <w:ind w:firstLine="480" w:firstLineChars="200"/>
              <w:rPr>
                <w:color w:val="auto"/>
                <w:sz w:val="24"/>
              </w:rPr>
            </w:pPr>
            <w:r>
              <w:rPr>
                <w:color w:val="auto"/>
                <w:sz w:val="24"/>
              </w:rPr>
              <w:t>经识别，本项目施工期生态影响环境、对象、途径、性质和程度如下表所示：</w:t>
            </w:r>
          </w:p>
          <w:p>
            <w:pPr>
              <w:widowControl/>
              <w:numPr>
                <w:ilvl w:val="0"/>
                <w:numId w:val="10"/>
              </w:numPr>
              <w:adjustRightInd w:val="0"/>
              <w:snapToGrid w:val="0"/>
              <w:jc w:val="center"/>
              <w:rPr>
                <w:b/>
                <w:bCs/>
                <w:color w:val="auto"/>
                <w:szCs w:val="21"/>
              </w:rPr>
            </w:pPr>
            <w:r>
              <w:rPr>
                <w:b/>
                <w:bCs/>
                <w:color w:val="auto"/>
                <w:szCs w:val="21"/>
              </w:rPr>
              <w:t>项目施工期生态环境影响识别表</w:t>
            </w:r>
          </w:p>
          <w:tbl>
            <w:tblPr>
              <w:tblStyle w:val="3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1031"/>
              <w:gridCol w:w="1018"/>
              <w:gridCol w:w="426"/>
              <w:gridCol w:w="787"/>
              <w:gridCol w:w="1476"/>
              <w:gridCol w:w="711"/>
              <w:gridCol w:w="1385"/>
              <w:gridCol w:w="7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Align w:val="center"/>
                </w:tcPr>
                <w:p>
                  <w:pPr>
                    <w:pStyle w:val="236"/>
                    <w:rPr>
                      <w:b/>
                      <w:color w:val="auto"/>
                    </w:rPr>
                  </w:pPr>
                  <w:r>
                    <w:rPr>
                      <w:b/>
                      <w:bCs/>
                      <w:color w:val="auto"/>
                    </w:rPr>
                    <w:t>序号</w:t>
                  </w:r>
                </w:p>
              </w:tc>
              <w:tc>
                <w:tcPr>
                  <w:tcW w:w="1085" w:type="dxa"/>
                  <w:vAlign w:val="center"/>
                </w:tcPr>
                <w:p>
                  <w:pPr>
                    <w:pStyle w:val="236"/>
                    <w:rPr>
                      <w:b/>
                      <w:color w:val="auto"/>
                    </w:rPr>
                  </w:pPr>
                  <w:r>
                    <w:rPr>
                      <w:b/>
                      <w:bCs/>
                      <w:color w:val="auto"/>
                    </w:rPr>
                    <w:t>影响环节</w:t>
                  </w:r>
                </w:p>
              </w:tc>
              <w:tc>
                <w:tcPr>
                  <w:tcW w:w="1070" w:type="dxa"/>
                  <w:vAlign w:val="center"/>
                </w:tcPr>
                <w:p>
                  <w:pPr>
                    <w:pStyle w:val="236"/>
                    <w:rPr>
                      <w:b/>
                      <w:color w:val="auto"/>
                    </w:rPr>
                  </w:pPr>
                  <w:r>
                    <w:rPr>
                      <w:b/>
                      <w:bCs/>
                      <w:color w:val="auto"/>
                    </w:rPr>
                    <w:t>影响因素</w:t>
                  </w:r>
                </w:p>
              </w:tc>
              <w:tc>
                <w:tcPr>
                  <w:tcW w:w="1243" w:type="dxa"/>
                  <w:gridSpan w:val="2"/>
                  <w:vAlign w:val="center"/>
                </w:tcPr>
                <w:p>
                  <w:pPr>
                    <w:pStyle w:val="236"/>
                    <w:rPr>
                      <w:b/>
                      <w:color w:val="auto"/>
                    </w:rPr>
                  </w:pPr>
                  <w:r>
                    <w:rPr>
                      <w:b/>
                      <w:bCs/>
                      <w:color w:val="auto"/>
                    </w:rPr>
                    <w:t>影响对象</w:t>
                  </w:r>
                </w:p>
              </w:tc>
              <w:tc>
                <w:tcPr>
                  <w:tcW w:w="1590" w:type="dxa"/>
                  <w:vAlign w:val="center"/>
                </w:tcPr>
                <w:p>
                  <w:pPr>
                    <w:pStyle w:val="236"/>
                    <w:rPr>
                      <w:b/>
                      <w:color w:val="auto"/>
                    </w:rPr>
                  </w:pPr>
                  <w:r>
                    <w:rPr>
                      <w:b/>
                      <w:bCs/>
                      <w:color w:val="auto"/>
                    </w:rPr>
                    <w:t>影响途径</w:t>
                  </w:r>
                </w:p>
              </w:tc>
              <w:tc>
                <w:tcPr>
                  <w:tcW w:w="750" w:type="dxa"/>
                  <w:vAlign w:val="center"/>
                </w:tcPr>
                <w:p>
                  <w:pPr>
                    <w:pStyle w:val="236"/>
                    <w:rPr>
                      <w:b/>
                      <w:color w:val="auto"/>
                    </w:rPr>
                  </w:pPr>
                  <w:r>
                    <w:rPr>
                      <w:b/>
                      <w:bCs/>
                      <w:color w:val="auto"/>
                    </w:rPr>
                    <w:t>影响性质</w:t>
                  </w:r>
                </w:p>
              </w:tc>
              <w:tc>
                <w:tcPr>
                  <w:tcW w:w="1515" w:type="dxa"/>
                  <w:vAlign w:val="center"/>
                </w:tcPr>
                <w:p>
                  <w:pPr>
                    <w:pStyle w:val="236"/>
                    <w:rPr>
                      <w:b/>
                      <w:color w:val="auto"/>
                    </w:rPr>
                  </w:pPr>
                  <w:r>
                    <w:rPr>
                      <w:b/>
                      <w:bCs/>
                      <w:color w:val="auto"/>
                    </w:rPr>
                    <w:t>影响范围</w:t>
                  </w:r>
                </w:p>
              </w:tc>
              <w:tc>
                <w:tcPr>
                  <w:tcW w:w="824" w:type="dxa"/>
                  <w:vAlign w:val="center"/>
                </w:tcPr>
                <w:p>
                  <w:pPr>
                    <w:pStyle w:val="236"/>
                    <w:rPr>
                      <w:b/>
                      <w:color w:val="auto"/>
                    </w:rPr>
                  </w:pPr>
                  <w:r>
                    <w:rPr>
                      <w:b/>
                      <w:bCs/>
                      <w:color w:val="auto"/>
                    </w:rPr>
                    <w:t>影响程度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Merge w:val="restart"/>
                  <w:vAlign w:val="center"/>
                </w:tcPr>
                <w:p>
                  <w:pPr>
                    <w:pStyle w:val="236"/>
                    <w:rPr>
                      <w:bCs/>
                      <w:color w:val="auto"/>
                    </w:rPr>
                  </w:pPr>
                  <w:r>
                    <w:rPr>
                      <w:rFonts w:eastAsia="Times New Roman"/>
                      <w:color w:val="auto"/>
                    </w:rPr>
                    <w:t>1</w:t>
                  </w:r>
                </w:p>
              </w:tc>
              <w:tc>
                <w:tcPr>
                  <w:tcW w:w="1085" w:type="dxa"/>
                  <w:vMerge w:val="restart"/>
                  <w:vAlign w:val="center"/>
                </w:tcPr>
                <w:p>
                  <w:pPr>
                    <w:pStyle w:val="236"/>
                    <w:rPr>
                      <w:bCs/>
                      <w:color w:val="auto"/>
                    </w:rPr>
                  </w:pPr>
                  <w:r>
                    <w:rPr>
                      <w:color w:val="auto"/>
                    </w:rPr>
                    <w:t>运输、开挖、填筑</w:t>
                  </w:r>
                </w:p>
              </w:tc>
              <w:tc>
                <w:tcPr>
                  <w:tcW w:w="1070" w:type="dxa"/>
                  <w:vMerge w:val="restart"/>
                  <w:vAlign w:val="center"/>
                </w:tcPr>
                <w:p>
                  <w:pPr>
                    <w:pStyle w:val="236"/>
                    <w:rPr>
                      <w:bCs/>
                      <w:color w:val="auto"/>
                    </w:rPr>
                  </w:pPr>
                  <w:r>
                    <w:rPr>
                      <w:color w:val="auto"/>
                    </w:rPr>
                    <w:t>扬尘、燃油废气</w:t>
                  </w:r>
                </w:p>
              </w:tc>
              <w:tc>
                <w:tcPr>
                  <w:tcW w:w="407" w:type="dxa"/>
                  <w:vMerge w:val="restart"/>
                  <w:vAlign w:val="center"/>
                </w:tcPr>
                <w:p>
                  <w:pPr>
                    <w:pStyle w:val="236"/>
                    <w:rPr>
                      <w:rFonts w:eastAsia="Times New Roman"/>
                      <w:color w:val="auto"/>
                    </w:rPr>
                  </w:pPr>
                  <w:r>
                    <w:rPr>
                      <w:color w:val="auto"/>
                    </w:rPr>
                    <w:t>陆生</w:t>
                  </w:r>
                </w:p>
                <w:p>
                  <w:pPr>
                    <w:pStyle w:val="236"/>
                    <w:rPr>
                      <w:rFonts w:eastAsia="Times New Roman"/>
                      <w:color w:val="auto"/>
                    </w:rPr>
                  </w:pPr>
                  <w:r>
                    <w:rPr>
                      <w:color w:val="auto"/>
                    </w:rPr>
                    <w:t>生态</w:t>
                  </w:r>
                </w:p>
                <w:p>
                  <w:pPr>
                    <w:pStyle w:val="236"/>
                    <w:rPr>
                      <w:bCs/>
                      <w:color w:val="auto"/>
                    </w:rPr>
                  </w:pPr>
                  <w:r>
                    <w:rPr>
                      <w:color w:val="auto"/>
                    </w:rPr>
                    <w:t>环境</w:t>
                  </w:r>
                </w:p>
              </w:tc>
              <w:tc>
                <w:tcPr>
                  <w:tcW w:w="836" w:type="dxa"/>
                  <w:vAlign w:val="center"/>
                </w:tcPr>
                <w:p>
                  <w:pPr>
                    <w:pStyle w:val="236"/>
                    <w:rPr>
                      <w:bCs/>
                      <w:color w:val="auto"/>
                    </w:rPr>
                  </w:pPr>
                  <w:r>
                    <w:rPr>
                      <w:color w:val="auto"/>
                    </w:rPr>
                    <w:t>陆生植被</w:t>
                  </w:r>
                </w:p>
              </w:tc>
              <w:tc>
                <w:tcPr>
                  <w:tcW w:w="1590" w:type="dxa"/>
                  <w:vAlign w:val="center"/>
                </w:tcPr>
                <w:p>
                  <w:pPr>
                    <w:pStyle w:val="236"/>
                    <w:rPr>
                      <w:bCs/>
                      <w:color w:val="auto"/>
                    </w:rPr>
                  </w:pPr>
                  <w:r>
                    <w:rPr>
                      <w:color w:val="auto"/>
                    </w:rPr>
                    <w:t>道路扬尘，影响植被生长</w:t>
                  </w:r>
                </w:p>
              </w:tc>
              <w:tc>
                <w:tcPr>
                  <w:tcW w:w="750" w:type="dxa"/>
                  <w:vAlign w:val="center"/>
                </w:tcPr>
                <w:p>
                  <w:pPr>
                    <w:pStyle w:val="236"/>
                    <w:rPr>
                      <w:bCs/>
                      <w:color w:val="auto"/>
                    </w:rPr>
                  </w:pPr>
                  <w:r>
                    <w:rPr>
                      <w:color w:val="auto"/>
                    </w:rPr>
                    <w:t>直接影响</w:t>
                  </w:r>
                </w:p>
              </w:tc>
              <w:tc>
                <w:tcPr>
                  <w:tcW w:w="1515" w:type="dxa"/>
                  <w:vAlign w:val="center"/>
                </w:tcPr>
                <w:p>
                  <w:pPr>
                    <w:pStyle w:val="236"/>
                    <w:rPr>
                      <w:bCs/>
                      <w:color w:val="auto"/>
                    </w:rPr>
                  </w:pPr>
                  <w:r>
                    <w:rPr>
                      <w:color w:val="auto"/>
                    </w:rPr>
                    <w:t>项目运输道路沿线</w:t>
                  </w:r>
                </w:p>
              </w:tc>
              <w:tc>
                <w:tcPr>
                  <w:tcW w:w="824" w:type="dxa"/>
                  <w:vAlign w:val="center"/>
                </w:tcPr>
                <w:p>
                  <w:pPr>
                    <w:pStyle w:val="236"/>
                    <w:rPr>
                      <w:bCs/>
                      <w:color w:val="auto"/>
                    </w:rPr>
                  </w:pPr>
                  <w:r>
                    <w:rPr>
                      <w:color w:val="auto"/>
                    </w:rPr>
                    <w:t>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Merge w:val="continue"/>
                  <w:vAlign w:val="center"/>
                </w:tcPr>
                <w:p>
                  <w:pPr>
                    <w:widowControl/>
                    <w:jc w:val="center"/>
                    <w:rPr>
                      <w:bCs/>
                      <w:color w:val="auto"/>
                      <w:szCs w:val="21"/>
                    </w:rPr>
                  </w:pPr>
                </w:p>
              </w:tc>
              <w:tc>
                <w:tcPr>
                  <w:tcW w:w="1085" w:type="dxa"/>
                  <w:vMerge w:val="continue"/>
                  <w:vAlign w:val="center"/>
                </w:tcPr>
                <w:p>
                  <w:pPr>
                    <w:widowControl/>
                    <w:jc w:val="center"/>
                    <w:rPr>
                      <w:bCs/>
                      <w:color w:val="auto"/>
                      <w:szCs w:val="21"/>
                    </w:rPr>
                  </w:pPr>
                </w:p>
              </w:tc>
              <w:tc>
                <w:tcPr>
                  <w:tcW w:w="1070" w:type="dxa"/>
                  <w:vMerge w:val="continue"/>
                  <w:vAlign w:val="center"/>
                </w:tcPr>
                <w:p>
                  <w:pPr>
                    <w:widowControl/>
                    <w:jc w:val="center"/>
                    <w:rPr>
                      <w:bCs/>
                      <w:color w:val="auto"/>
                      <w:szCs w:val="21"/>
                    </w:rPr>
                  </w:pPr>
                </w:p>
              </w:tc>
              <w:tc>
                <w:tcPr>
                  <w:tcW w:w="407" w:type="dxa"/>
                  <w:vMerge w:val="continue"/>
                  <w:vAlign w:val="center"/>
                </w:tcPr>
                <w:p>
                  <w:pPr>
                    <w:pStyle w:val="236"/>
                    <w:rPr>
                      <w:bCs/>
                      <w:color w:val="auto"/>
                    </w:rPr>
                  </w:pPr>
                </w:p>
              </w:tc>
              <w:tc>
                <w:tcPr>
                  <w:tcW w:w="836" w:type="dxa"/>
                  <w:vAlign w:val="center"/>
                </w:tcPr>
                <w:p>
                  <w:pPr>
                    <w:pStyle w:val="236"/>
                    <w:rPr>
                      <w:bCs/>
                      <w:color w:val="auto"/>
                    </w:rPr>
                  </w:pPr>
                  <w:r>
                    <w:rPr>
                      <w:color w:val="auto"/>
                      <w:lang w:val="en-US"/>
                    </w:rPr>
                    <w:t>沿线居民</w:t>
                  </w:r>
                </w:p>
              </w:tc>
              <w:tc>
                <w:tcPr>
                  <w:tcW w:w="1590" w:type="dxa"/>
                  <w:vAlign w:val="center"/>
                </w:tcPr>
                <w:p>
                  <w:pPr>
                    <w:pStyle w:val="236"/>
                    <w:rPr>
                      <w:bCs/>
                      <w:color w:val="auto"/>
                    </w:rPr>
                  </w:pPr>
                  <w:r>
                    <w:rPr>
                      <w:color w:val="auto"/>
                      <w:lang w:val="en-US"/>
                    </w:rPr>
                    <w:t>道路扬尘，影响居民正产生活</w:t>
                  </w:r>
                </w:p>
              </w:tc>
              <w:tc>
                <w:tcPr>
                  <w:tcW w:w="750" w:type="dxa"/>
                  <w:vAlign w:val="center"/>
                </w:tcPr>
                <w:p>
                  <w:pPr>
                    <w:pStyle w:val="236"/>
                    <w:rPr>
                      <w:bCs/>
                      <w:color w:val="auto"/>
                    </w:rPr>
                  </w:pPr>
                  <w:r>
                    <w:rPr>
                      <w:color w:val="auto"/>
                      <w:lang w:val="en-US"/>
                    </w:rPr>
                    <w:t>直接影响</w:t>
                  </w:r>
                </w:p>
              </w:tc>
              <w:tc>
                <w:tcPr>
                  <w:tcW w:w="1515" w:type="dxa"/>
                  <w:vAlign w:val="center"/>
                </w:tcPr>
                <w:p>
                  <w:pPr>
                    <w:pStyle w:val="236"/>
                    <w:rPr>
                      <w:bCs/>
                      <w:color w:val="auto"/>
                    </w:rPr>
                  </w:pPr>
                  <w:r>
                    <w:rPr>
                      <w:color w:val="auto"/>
                    </w:rPr>
                    <w:t>项目运输道路沿线</w:t>
                  </w:r>
                </w:p>
              </w:tc>
              <w:tc>
                <w:tcPr>
                  <w:tcW w:w="824" w:type="dxa"/>
                  <w:vAlign w:val="center"/>
                </w:tcPr>
                <w:p>
                  <w:pPr>
                    <w:pStyle w:val="236"/>
                    <w:rPr>
                      <w:bCs/>
                      <w:color w:val="auto"/>
                    </w:rPr>
                  </w:pPr>
                  <w:r>
                    <w:rPr>
                      <w:color w:val="auto"/>
                      <w:lang w:val="en-US"/>
                    </w:rPr>
                    <w:t>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Merge w:val="restart"/>
                  <w:vAlign w:val="center"/>
                </w:tcPr>
                <w:p>
                  <w:pPr>
                    <w:pStyle w:val="236"/>
                    <w:rPr>
                      <w:bCs/>
                      <w:color w:val="auto"/>
                    </w:rPr>
                  </w:pPr>
                  <w:r>
                    <w:rPr>
                      <w:rFonts w:eastAsia="Times New Roman"/>
                      <w:color w:val="auto"/>
                    </w:rPr>
                    <w:t>2</w:t>
                  </w:r>
                </w:p>
              </w:tc>
              <w:tc>
                <w:tcPr>
                  <w:tcW w:w="1085" w:type="dxa"/>
                  <w:vMerge w:val="continue"/>
                  <w:vAlign w:val="center"/>
                </w:tcPr>
                <w:p>
                  <w:pPr>
                    <w:widowControl/>
                    <w:jc w:val="center"/>
                    <w:rPr>
                      <w:bCs/>
                      <w:color w:val="auto"/>
                      <w:szCs w:val="21"/>
                    </w:rPr>
                  </w:pPr>
                </w:p>
              </w:tc>
              <w:tc>
                <w:tcPr>
                  <w:tcW w:w="1070" w:type="dxa"/>
                  <w:vMerge w:val="restart"/>
                  <w:vAlign w:val="center"/>
                </w:tcPr>
                <w:p>
                  <w:pPr>
                    <w:pStyle w:val="236"/>
                    <w:rPr>
                      <w:bCs/>
                      <w:color w:val="auto"/>
                    </w:rPr>
                  </w:pPr>
                  <w:r>
                    <w:rPr>
                      <w:color w:val="auto"/>
                    </w:rPr>
                    <w:t>施工噪声</w:t>
                  </w:r>
                </w:p>
              </w:tc>
              <w:tc>
                <w:tcPr>
                  <w:tcW w:w="407" w:type="dxa"/>
                  <w:vMerge w:val="continue"/>
                  <w:vAlign w:val="center"/>
                </w:tcPr>
                <w:p>
                  <w:pPr>
                    <w:pStyle w:val="236"/>
                    <w:rPr>
                      <w:bCs/>
                      <w:color w:val="auto"/>
                    </w:rPr>
                  </w:pPr>
                </w:p>
              </w:tc>
              <w:tc>
                <w:tcPr>
                  <w:tcW w:w="836" w:type="dxa"/>
                  <w:vAlign w:val="center"/>
                </w:tcPr>
                <w:p>
                  <w:pPr>
                    <w:pStyle w:val="236"/>
                    <w:rPr>
                      <w:bCs/>
                      <w:color w:val="auto"/>
                    </w:rPr>
                  </w:pPr>
                  <w:r>
                    <w:rPr>
                      <w:color w:val="auto"/>
                    </w:rPr>
                    <w:t>陆生动物</w:t>
                  </w:r>
                </w:p>
              </w:tc>
              <w:tc>
                <w:tcPr>
                  <w:tcW w:w="1590" w:type="dxa"/>
                  <w:vAlign w:val="center"/>
                </w:tcPr>
                <w:p>
                  <w:pPr>
                    <w:pStyle w:val="236"/>
                    <w:rPr>
                      <w:bCs/>
                      <w:color w:val="auto"/>
                    </w:rPr>
                  </w:pPr>
                  <w:r>
                    <w:rPr>
                      <w:color w:val="auto"/>
                    </w:rPr>
                    <w:t>项目施工噪声导致动物逃离施工区域</w:t>
                  </w:r>
                </w:p>
              </w:tc>
              <w:tc>
                <w:tcPr>
                  <w:tcW w:w="750" w:type="dxa"/>
                  <w:vAlign w:val="center"/>
                </w:tcPr>
                <w:p>
                  <w:pPr>
                    <w:pStyle w:val="236"/>
                    <w:rPr>
                      <w:bCs/>
                      <w:color w:val="auto"/>
                    </w:rPr>
                  </w:pPr>
                  <w:r>
                    <w:rPr>
                      <w:color w:val="auto"/>
                    </w:rPr>
                    <w:t>间接影响</w:t>
                  </w:r>
                </w:p>
              </w:tc>
              <w:tc>
                <w:tcPr>
                  <w:tcW w:w="1515" w:type="dxa"/>
                  <w:vAlign w:val="center"/>
                </w:tcPr>
                <w:p>
                  <w:pPr>
                    <w:pStyle w:val="236"/>
                    <w:rPr>
                      <w:bCs/>
                      <w:color w:val="auto"/>
                    </w:rPr>
                  </w:pPr>
                  <w:r>
                    <w:rPr>
                      <w:color w:val="auto"/>
                    </w:rPr>
                    <w:t>项目施工区域及周边影响范围内</w:t>
                  </w:r>
                </w:p>
              </w:tc>
              <w:tc>
                <w:tcPr>
                  <w:tcW w:w="824" w:type="dxa"/>
                  <w:vAlign w:val="center"/>
                </w:tcPr>
                <w:p>
                  <w:pPr>
                    <w:pStyle w:val="236"/>
                    <w:rPr>
                      <w:bCs/>
                      <w:color w:val="auto"/>
                    </w:rPr>
                  </w:pPr>
                  <w:r>
                    <w:rPr>
                      <w:color w:val="auto"/>
                    </w:rPr>
                    <w:t>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Merge w:val="continue"/>
                  <w:vAlign w:val="center"/>
                </w:tcPr>
                <w:p>
                  <w:pPr>
                    <w:widowControl/>
                    <w:jc w:val="center"/>
                    <w:rPr>
                      <w:bCs/>
                      <w:color w:val="auto"/>
                      <w:szCs w:val="21"/>
                    </w:rPr>
                  </w:pPr>
                </w:p>
              </w:tc>
              <w:tc>
                <w:tcPr>
                  <w:tcW w:w="1085" w:type="dxa"/>
                  <w:vMerge w:val="continue"/>
                  <w:vAlign w:val="center"/>
                </w:tcPr>
                <w:p>
                  <w:pPr>
                    <w:widowControl/>
                    <w:jc w:val="center"/>
                    <w:rPr>
                      <w:bCs/>
                      <w:color w:val="auto"/>
                      <w:szCs w:val="21"/>
                    </w:rPr>
                  </w:pPr>
                </w:p>
              </w:tc>
              <w:tc>
                <w:tcPr>
                  <w:tcW w:w="1070" w:type="dxa"/>
                  <w:vMerge w:val="continue"/>
                  <w:vAlign w:val="center"/>
                </w:tcPr>
                <w:p>
                  <w:pPr>
                    <w:widowControl/>
                    <w:jc w:val="center"/>
                    <w:rPr>
                      <w:bCs/>
                      <w:color w:val="auto"/>
                      <w:szCs w:val="21"/>
                    </w:rPr>
                  </w:pPr>
                </w:p>
              </w:tc>
              <w:tc>
                <w:tcPr>
                  <w:tcW w:w="407" w:type="dxa"/>
                  <w:vMerge w:val="continue"/>
                  <w:vAlign w:val="center"/>
                </w:tcPr>
                <w:p>
                  <w:pPr>
                    <w:pStyle w:val="236"/>
                    <w:rPr>
                      <w:bCs/>
                      <w:color w:val="auto"/>
                    </w:rPr>
                  </w:pPr>
                </w:p>
              </w:tc>
              <w:tc>
                <w:tcPr>
                  <w:tcW w:w="836" w:type="dxa"/>
                  <w:vAlign w:val="center"/>
                </w:tcPr>
                <w:p>
                  <w:pPr>
                    <w:pStyle w:val="236"/>
                    <w:rPr>
                      <w:bCs/>
                      <w:color w:val="auto"/>
                    </w:rPr>
                  </w:pPr>
                  <w:r>
                    <w:rPr>
                      <w:color w:val="auto"/>
                      <w:lang w:val="en-US"/>
                    </w:rPr>
                    <w:t>沿线居民</w:t>
                  </w:r>
                </w:p>
              </w:tc>
              <w:tc>
                <w:tcPr>
                  <w:tcW w:w="1590" w:type="dxa"/>
                  <w:vAlign w:val="center"/>
                </w:tcPr>
                <w:p>
                  <w:pPr>
                    <w:pStyle w:val="236"/>
                    <w:rPr>
                      <w:bCs/>
                      <w:color w:val="auto"/>
                    </w:rPr>
                  </w:pPr>
                  <w:r>
                    <w:rPr>
                      <w:color w:val="auto"/>
                      <w:lang w:val="en-US"/>
                    </w:rPr>
                    <w:t>项目施工噪声影响居民正常生活和休息</w:t>
                  </w:r>
                </w:p>
              </w:tc>
              <w:tc>
                <w:tcPr>
                  <w:tcW w:w="750" w:type="dxa"/>
                  <w:vAlign w:val="center"/>
                </w:tcPr>
                <w:p>
                  <w:pPr>
                    <w:pStyle w:val="236"/>
                    <w:rPr>
                      <w:bCs/>
                      <w:color w:val="auto"/>
                    </w:rPr>
                  </w:pPr>
                  <w:r>
                    <w:rPr>
                      <w:color w:val="auto"/>
                      <w:lang w:val="en-US"/>
                    </w:rPr>
                    <w:t>直接影响</w:t>
                  </w:r>
                </w:p>
              </w:tc>
              <w:tc>
                <w:tcPr>
                  <w:tcW w:w="1515" w:type="dxa"/>
                  <w:vAlign w:val="center"/>
                </w:tcPr>
                <w:p>
                  <w:pPr>
                    <w:pStyle w:val="236"/>
                    <w:rPr>
                      <w:bCs/>
                      <w:color w:val="auto"/>
                    </w:rPr>
                  </w:pPr>
                  <w:r>
                    <w:rPr>
                      <w:color w:val="auto"/>
                    </w:rPr>
                    <w:t>项目施工区域及周边影响范围内</w:t>
                  </w:r>
                </w:p>
              </w:tc>
              <w:tc>
                <w:tcPr>
                  <w:tcW w:w="824" w:type="dxa"/>
                  <w:vAlign w:val="center"/>
                </w:tcPr>
                <w:p>
                  <w:pPr>
                    <w:pStyle w:val="236"/>
                    <w:rPr>
                      <w:bCs/>
                      <w:color w:val="auto"/>
                    </w:rPr>
                  </w:pPr>
                  <w:r>
                    <w:rPr>
                      <w:color w:val="auto"/>
                      <w:lang w:val="en-US"/>
                    </w:rPr>
                    <w:t>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Align w:val="center"/>
                </w:tcPr>
                <w:p>
                  <w:pPr>
                    <w:pStyle w:val="236"/>
                    <w:rPr>
                      <w:bCs/>
                      <w:color w:val="auto"/>
                    </w:rPr>
                  </w:pPr>
                  <w:r>
                    <w:rPr>
                      <w:color w:val="auto"/>
                      <w:lang w:val="en-US"/>
                    </w:rPr>
                    <w:t>3</w:t>
                  </w:r>
                </w:p>
              </w:tc>
              <w:tc>
                <w:tcPr>
                  <w:tcW w:w="1085" w:type="dxa"/>
                  <w:vAlign w:val="center"/>
                </w:tcPr>
                <w:p>
                  <w:pPr>
                    <w:pStyle w:val="236"/>
                    <w:rPr>
                      <w:bCs/>
                      <w:color w:val="auto"/>
                    </w:rPr>
                  </w:pPr>
                  <w:r>
                    <w:rPr>
                      <w:color w:val="auto"/>
                    </w:rPr>
                    <w:t>开挖、填筑</w:t>
                  </w:r>
                </w:p>
              </w:tc>
              <w:tc>
                <w:tcPr>
                  <w:tcW w:w="1070" w:type="dxa"/>
                  <w:vAlign w:val="center"/>
                </w:tcPr>
                <w:p>
                  <w:pPr>
                    <w:pStyle w:val="236"/>
                    <w:rPr>
                      <w:bCs/>
                      <w:color w:val="auto"/>
                    </w:rPr>
                  </w:pPr>
                  <w:r>
                    <w:rPr>
                      <w:color w:val="auto"/>
                    </w:rPr>
                    <w:t>施工占地</w:t>
                  </w:r>
                </w:p>
              </w:tc>
              <w:tc>
                <w:tcPr>
                  <w:tcW w:w="407" w:type="dxa"/>
                  <w:vMerge w:val="continue"/>
                  <w:vAlign w:val="center"/>
                </w:tcPr>
                <w:p>
                  <w:pPr>
                    <w:pStyle w:val="236"/>
                    <w:rPr>
                      <w:bCs/>
                      <w:color w:val="auto"/>
                    </w:rPr>
                  </w:pPr>
                </w:p>
              </w:tc>
              <w:tc>
                <w:tcPr>
                  <w:tcW w:w="836" w:type="dxa"/>
                  <w:vAlign w:val="center"/>
                </w:tcPr>
                <w:p>
                  <w:pPr>
                    <w:pStyle w:val="236"/>
                    <w:rPr>
                      <w:bCs/>
                      <w:color w:val="auto"/>
                    </w:rPr>
                  </w:pPr>
                  <w:r>
                    <w:rPr>
                      <w:color w:val="auto"/>
                    </w:rPr>
                    <w:t>水土流失</w:t>
                  </w:r>
                </w:p>
              </w:tc>
              <w:tc>
                <w:tcPr>
                  <w:tcW w:w="1590" w:type="dxa"/>
                  <w:vAlign w:val="center"/>
                </w:tcPr>
                <w:p>
                  <w:pPr>
                    <w:pStyle w:val="236"/>
                    <w:rPr>
                      <w:bCs/>
                      <w:color w:val="auto"/>
                    </w:rPr>
                  </w:pPr>
                  <w:r>
                    <w:rPr>
                      <w:color w:val="auto"/>
                    </w:rPr>
                    <w:t>因施工裸露地表而造成的土壤侵蚀加剧从而导致区域水土流失</w:t>
                  </w:r>
                </w:p>
              </w:tc>
              <w:tc>
                <w:tcPr>
                  <w:tcW w:w="750" w:type="dxa"/>
                  <w:vAlign w:val="center"/>
                </w:tcPr>
                <w:p>
                  <w:pPr>
                    <w:pStyle w:val="236"/>
                    <w:rPr>
                      <w:bCs/>
                      <w:color w:val="auto"/>
                    </w:rPr>
                  </w:pPr>
                  <w:r>
                    <w:rPr>
                      <w:color w:val="auto"/>
                    </w:rPr>
                    <w:t>直接影响</w:t>
                  </w:r>
                </w:p>
              </w:tc>
              <w:tc>
                <w:tcPr>
                  <w:tcW w:w="1515" w:type="dxa"/>
                  <w:vAlign w:val="center"/>
                </w:tcPr>
                <w:p>
                  <w:pPr>
                    <w:pStyle w:val="236"/>
                    <w:rPr>
                      <w:bCs/>
                      <w:color w:val="auto"/>
                    </w:rPr>
                  </w:pPr>
                  <w:r>
                    <w:rPr>
                      <w:color w:val="auto"/>
                    </w:rPr>
                    <w:t>项目施工区域及周边影响范围内</w:t>
                  </w:r>
                </w:p>
              </w:tc>
              <w:tc>
                <w:tcPr>
                  <w:tcW w:w="824" w:type="dxa"/>
                  <w:vAlign w:val="center"/>
                </w:tcPr>
                <w:p>
                  <w:pPr>
                    <w:pStyle w:val="236"/>
                    <w:rPr>
                      <w:bCs/>
                      <w:color w:val="auto"/>
                    </w:rPr>
                  </w:pPr>
                  <w:r>
                    <w:rPr>
                      <w:color w:val="auto"/>
                    </w:rPr>
                    <w:t>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Align w:val="center"/>
                </w:tcPr>
                <w:p>
                  <w:pPr>
                    <w:pStyle w:val="236"/>
                    <w:rPr>
                      <w:bCs/>
                      <w:color w:val="auto"/>
                    </w:rPr>
                  </w:pPr>
                  <w:r>
                    <w:rPr>
                      <w:color w:val="auto"/>
                      <w:lang w:val="en-US"/>
                    </w:rPr>
                    <w:t>4</w:t>
                  </w:r>
                </w:p>
              </w:tc>
              <w:tc>
                <w:tcPr>
                  <w:tcW w:w="1085" w:type="dxa"/>
                  <w:vMerge w:val="restart"/>
                  <w:vAlign w:val="center"/>
                </w:tcPr>
                <w:p>
                  <w:pPr>
                    <w:pStyle w:val="236"/>
                    <w:rPr>
                      <w:bCs/>
                      <w:color w:val="auto"/>
                    </w:rPr>
                  </w:pPr>
                  <w:r>
                    <w:rPr>
                      <w:color w:val="auto"/>
                      <w:lang w:val="en-US"/>
                    </w:rPr>
                    <w:t>淤料</w:t>
                  </w:r>
                  <w:r>
                    <w:rPr>
                      <w:color w:val="auto"/>
                    </w:rPr>
                    <w:t>开挖</w:t>
                  </w:r>
                </w:p>
              </w:tc>
              <w:tc>
                <w:tcPr>
                  <w:tcW w:w="1070" w:type="dxa"/>
                  <w:vMerge w:val="restart"/>
                  <w:vAlign w:val="center"/>
                </w:tcPr>
                <w:p>
                  <w:pPr>
                    <w:pStyle w:val="236"/>
                    <w:rPr>
                      <w:bCs/>
                      <w:color w:val="auto"/>
                    </w:rPr>
                  </w:pPr>
                  <w:r>
                    <w:rPr>
                      <w:color w:val="auto"/>
                    </w:rPr>
                    <w:t>水体、</w:t>
                  </w:r>
                  <w:r>
                    <w:rPr>
                      <w:color w:val="auto"/>
                      <w:lang w:val="en-US"/>
                    </w:rPr>
                    <w:t>底泥</w:t>
                  </w:r>
                  <w:r>
                    <w:rPr>
                      <w:color w:val="auto"/>
                    </w:rPr>
                    <w:t>扰动</w:t>
                  </w:r>
                </w:p>
              </w:tc>
              <w:tc>
                <w:tcPr>
                  <w:tcW w:w="407" w:type="dxa"/>
                  <w:vMerge w:val="restart"/>
                  <w:vAlign w:val="center"/>
                </w:tcPr>
                <w:p>
                  <w:pPr>
                    <w:pStyle w:val="236"/>
                    <w:rPr>
                      <w:rFonts w:eastAsia="Times New Roman"/>
                      <w:color w:val="auto"/>
                    </w:rPr>
                  </w:pPr>
                  <w:r>
                    <w:rPr>
                      <w:color w:val="auto"/>
                    </w:rPr>
                    <w:t>水生</w:t>
                  </w:r>
                </w:p>
                <w:p>
                  <w:pPr>
                    <w:pStyle w:val="236"/>
                    <w:rPr>
                      <w:rFonts w:eastAsia="Times New Roman"/>
                      <w:color w:val="auto"/>
                    </w:rPr>
                  </w:pPr>
                  <w:r>
                    <w:rPr>
                      <w:color w:val="auto"/>
                    </w:rPr>
                    <w:t>生态</w:t>
                  </w:r>
                </w:p>
                <w:p>
                  <w:pPr>
                    <w:pStyle w:val="236"/>
                    <w:rPr>
                      <w:bCs/>
                      <w:color w:val="auto"/>
                    </w:rPr>
                  </w:pPr>
                  <w:r>
                    <w:rPr>
                      <w:color w:val="auto"/>
                    </w:rPr>
                    <w:t>环境</w:t>
                  </w:r>
                </w:p>
              </w:tc>
              <w:tc>
                <w:tcPr>
                  <w:tcW w:w="836" w:type="dxa"/>
                  <w:vAlign w:val="center"/>
                </w:tcPr>
                <w:p>
                  <w:pPr>
                    <w:pStyle w:val="236"/>
                    <w:rPr>
                      <w:bCs/>
                      <w:color w:val="auto"/>
                    </w:rPr>
                  </w:pPr>
                  <w:r>
                    <w:rPr>
                      <w:color w:val="auto"/>
                    </w:rPr>
                    <w:t>水生动植物</w:t>
                  </w:r>
                </w:p>
              </w:tc>
              <w:tc>
                <w:tcPr>
                  <w:tcW w:w="1590" w:type="dxa"/>
                  <w:vAlign w:val="center"/>
                </w:tcPr>
                <w:p>
                  <w:pPr>
                    <w:pStyle w:val="236"/>
                    <w:rPr>
                      <w:bCs/>
                      <w:color w:val="auto"/>
                    </w:rPr>
                  </w:pPr>
                  <w:r>
                    <w:rPr>
                      <w:color w:val="auto"/>
                    </w:rPr>
                    <w:t>项目施工导致区域水生动植物数量减少</w:t>
                  </w:r>
                </w:p>
              </w:tc>
              <w:tc>
                <w:tcPr>
                  <w:tcW w:w="750" w:type="dxa"/>
                  <w:vAlign w:val="center"/>
                </w:tcPr>
                <w:p>
                  <w:pPr>
                    <w:pStyle w:val="236"/>
                    <w:rPr>
                      <w:bCs/>
                      <w:color w:val="auto"/>
                    </w:rPr>
                  </w:pPr>
                  <w:r>
                    <w:rPr>
                      <w:color w:val="auto"/>
                    </w:rPr>
                    <w:t>直接影响</w:t>
                  </w:r>
                </w:p>
              </w:tc>
              <w:tc>
                <w:tcPr>
                  <w:tcW w:w="1515" w:type="dxa"/>
                  <w:vAlign w:val="center"/>
                </w:tcPr>
                <w:p>
                  <w:pPr>
                    <w:pStyle w:val="236"/>
                    <w:rPr>
                      <w:bCs/>
                      <w:color w:val="auto"/>
                    </w:rPr>
                  </w:pPr>
                  <w:r>
                    <w:rPr>
                      <w:color w:val="auto"/>
                    </w:rPr>
                    <w:t>项目施工河道及下游影响范围内</w:t>
                  </w:r>
                </w:p>
              </w:tc>
              <w:tc>
                <w:tcPr>
                  <w:tcW w:w="824" w:type="dxa"/>
                  <w:vAlign w:val="center"/>
                </w:tcPr>
                <w:p>
                  <w:pPr>
                    <w:pStyle w:val="236"/>
                    <w:rPr>
                      <w:bCs/>
                      <w:color w:val="auto"/>
                    </w:rPr>
                  </w:pPr>
                  <w:r>
                    <w:rPr>
                      <w:color w:val="auto"/>
                    </w:rPr>
                    <w:t>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dxa"/>
                  <w:vAlign w:val="center"/>
                </w:tcPr>
                <w:p>
                  <w:pPr>
                    <w:pStyle w:val="236"/>
                    <w:rPr>
                      <w:bCs/>
                      <w:color w:val="auto"/>
                    </w:rPr>
                  </w:pPr>
                  <w:r>
                    <w:rPr>
                      <w:color w:val="auto"/>
                      <w:lang w:val="en-US"/>
                    </w:rPr>
                    <w:t>5</w:t>
                  </w:r>
                </w:p>
              </w:tc>
              <w:tc>
                <w:tcPr>
                  <w:tcW w:w="1085" w:type="dxa"/>
                  <w:vMerge w:val="continue"/>
                </w:tcPr>
                <w:p>
                  <w:pPr>
                    <w:widowControl/>
                    <w:jc w:val="left"/>
                    <w:rPr>
                      <w:bCs/>
                      <w:color w:val="auto"/>
                      <w:szCs w:val="21"/>
                    </w:rPr>
                  </w:pPr>
                </w:p>
              </w:tc>
              <w:tc>
                <w:tcPr>
                  <w:tcW w:w="1070" w:type="dxa"/>
                  <w:vMerge w:val="continue"/>
                  <w:vAlign w:val="center"/>
                </w:tcPr>
                <w:p>
                  <w:pPr>
                    <w:widowControl/>
                    <w:jc w:val="center"/>
                    <w:rPr>
                      <w:bCs/>
                      <w:color w:val="auto"/>
                      <w:szCs w:val="21"/>
                    </w:rPr>
                  </w:pPr>
                </w:p>
              </w:tc>
              <w:tc>
                <w:tcPr>
                  <w:tcW w:w="407" w:type="dxa"/>
                  <w:vMerge w:val="continue"/>
                  <w:vAlign w:val="center"/>
                </w:tcPr>
                <w:p>
                  <w:pPr>
                    <w:pStyle w:val="236"/>
                    <w:rPr>
                      <w:bCs/>
                      <w:color w:val="auto"/>
                    </w:rPr>
                  </w:pPr>
                </w:p>
              </w:tc>
              <w:tc>
                <w:tcPr>
                  <w:tcW w:w="836" w:type="dxa"/>
                  <w:vAlign w:val="center"/>
                </w:tcPr>
                <w:p>
                  <w:pPr>
                    <w:pStyle w:val="236"/>
                    <w:rPr>
                      <w:bCs/>
                      <w:color w:val="auto"/>
                    </w:rPr>
                  </w:pPr>
                  <w:r>
                    <w:rPr>
                      <w:color w:val="auto"/>
                    </w:rPr>
                    <w:t>水生生物生境</w:t>
                  </w:r>
                </w:p>
              </w:tc>
              <w:tc>
                <w:tcPr>
                  <w:tcW w:w="1590" w:type="dxa"/>
                  <w:vAlign w:val="center"/>
                </w:tcPr>
                <w:p>
                  <w:pPr>
                    <w:pStyle w:val="236"/>
                    <w:rPr>
                      <w:bCs/>
                      <w:color w:val="auto"/>
                    </w:rPr>
                  </w:pPr>
                  <w:r>
                    <w:rPr>
                      <w:color w:val="auto"/>
                    </w:rPr>
                    <w:t>项目施工对水生生物生境的破坏</w:t>
                  </w:r>
                </w:p>
              </w:tc>
              <w:tc>
                <w:tcPr>
                  <w:tcW w:w="750" w:type="dxa"/>
                  <w:vAlign w:val="center"/>
                </w:tcPr>
                <w:p>
                  <w:pPr>
                    <w:pStyle w:val="236"/>
                    <w:rPr>
                      <w:bCs/>
                      <w:color w:val="auto"/>
                    </w:rPr>
                  </w:pPr>
                  <w:r>
                    <w:rPr>
                      <w:color w:val="auto"/>
                    </w:rPr>
                    <w:t>直接影响</w:t>
                  </w:r>
                </w:p>
              </w:tc>
              <w:tc>
                <w:tcPr>
                  <w:tcW w:w="1515" w:type="dxa"/>
                  <w:vAlign w:val="center"/>
                </w:tcPr>
                <w:p>
                  <w:pPr>
                    <w:pStyle w:val="236"/>
                    <w:rPr>
                      <w:bCs/>
                      <w:color w:val="auto"/>
                    </w:rPr>
                  </w:pPr>
                  <w:r>
                    <w:rPr>
                      <w:color w:val="auto"/>
                    </w:rPr>
                    <w:t>项目施工河道及内下游影响范围</w:t>
                  </w:r>
                </w:p>
              </w:tc>
              <w:tc>
                <w:tcPr>
                  <w:tcW w:w="824" w:type="dxa"/>
                  <w:vAlign w:val="center"/>
                </w:tcPr>
                <w:p>
                  <w:pPr>
                    <w:pStyle w:val="236"/>
                    <w:rPr>
                      <w:bCs/>
                      <w:color w:val="auto"/>
                    </w:rPr>
                  </w:pPr>
                  <w:r>
                    <w:rPr>
                      <w:color w:val="auto"/>
                    </w:rPr>
                    <w:t>较小</w:t>
                  </w:r>
                </w:p>
              </w:tc>
            </w:tr>
          </w:tbl>
          <w:p>
            <w:pPr>
              <w:spacing w:line="360" w:lineRule="auto"/>
              <w:ind w:firstLine="482" w:firstLineChars="200"/>
              <w:rPr>
                <w:b/>
                <w:bCs/>
                <w:color w:val="auto"/>
                <w:sz w:val="24"/>
              </w:rPr>
            </w:pPr>
            <w:r>
              <w:rPr>
                <w:b/>
                <w:bCs/>
                <w:color w:val="auto"/>
                <w:sz w:val="24"/>
              </w:rPr>
              <w:t>2、对土地资源的影响</w:t>
            </w:r>
          </w:p>
          <w:p>
            <w:pPr>
              <w:spacing w:line="360" w:lineRule="auto"/>
              <w:ind w:firstLine="480" w:firstLineChars="200"/>
              <w:rPr>
                <w:color w:val="auto"/>
                <w:sz w:val="24"/>
              </w:rPr>
            </w:pPr>
            <w:r>
              <w:rPr>
                <w:color w:val="auto"/>
                <w:sz w:val="24"/>
              </w:rPr>
              <w:t>施工期对土地资源的影响主要表现在占用土地资源方面，占地类型主要为耕地（不占用基本农田）、水域及水利设施用地及林地。经核实，工程建设占用土地总面积209.6亩，其中永久工程区156.89亩，全部为集体经济组织所有，永久占用耕地38.5亩，永久占林地3.78亩，永久占用水域及水域用地114.61亩，对区域土地资源影响不大。临时占地主要为施工导流工程以及施工场地占地，总占地面积52.71亩，</w:t>
            </w:r>
            <w:r>
              <w:rPr>
                <w:rStyle w:val="43"/>
                <w:color w:val="auto"/>
                <w:kern w:val="0"/>
                <w:sz w:val="24"/>
              </w:rPr>
              <w:t>占地类型为耕地、林地、水域及水利设施用地，其中</w:t>
            </w:r>
            <w:r>
              <w:rPr>
                <w:color w:val="auto"/>
                <w:sz w:val="24"/>
              </w:rPr>
              <w:t>临时占用耕地6.1亩，临时占用林地3.5亩，临时占用</w:t>
            </w:r>
            <w:r>
              <w:rPr>
                <w:rStyle w:val="43"/>
                <w:color w:val="auto"/>
                <w:kern w:val="0"/>
                <w:sz w:val="24"/>
              </w:rPr>
              <w:t>水域及水利设施用地</w:t>
            </w:r>
            <w:r>
              <w:rPr>
                <w:color w:val="auto"/>
                <w:sz w:val="24"/>
              </w:rPr>
              <w:t>43.11亩，占地面积较大，但本项目施工时间较短，仅在枯水期施工，且采取分段施工方式，报告要求建设单位每施工一段则对所占用的耕地进行土地复垦，林地进行复植，对所占用的围堰进行拆除，恢复现状，因此在采取报告提出的措施后，项目对土地利用结构影响不大。</w:t>
            </w:r>
          </w:p>
          <w:p>
            <w:pPr>
              <w:spacing w:line="360" w:lineRule="auto"/>
              <w:ind w:firstLine="482" w:firstLineChars="200"/>
              <w:rPr>
                <w:b/>
                <w:bCs/>
                <w:color w:val="auto"/>
                <w:sz w:val="24"/>
              </w:rPr>
            </w:pPr>
            <w:r>
              <w:rPr>
                <w:b/>
                <w:bCs/>
                <w:color w:val="auto"/>
                <w:sz w:val="24"/>
              </w:rPr>
              <w:t>3、施工期对陆生生态影响分析</w:t>
            </w:r>
          </w:p>
          <w:p>
            <w:pPr>
              <w:spacing w:line="360" w:lineRule="auto"/>
              <w:ind w:firstLine="482" w:firstLineChars="200"/>
              <w:rPr>
                <w:b/>
                <w:bCs/>
                <w:color w:val="auto"/>
                <w:sz w:val="24"/>
              </w:rPr>
            </w:pPr>
            <w:r>
              <w:rPr>
                <w:b/>
                <w:bCs/>
                <w:color w:val="auto"/>
                <w:sz w:val="24"/>
              </w:rPr>
              <w:t>（1）陆生植被影响分析</w:t>
            </w:r>
          </w:p>
          <w:p>
            <w:pPr>
              <w:spacing w:line="360" w:lineRule="auto"/>
              <w:ind w:firstLine="480" w:firstLineChars="200"/>
              <w:rPr>
                <w:color w:val="auto"/>
                <w:sz w:val="24"/>
              </w:rPr>
            </w:pPr>
            <w:r>
              <w:rPr>
                <w:color w:val="auto"/>
                <w:sz w:val="24"/>
              </w:rPr>
              <w:t>根据实地调查和访问，项目占地主要是耕地（不占用基本农田）、水域及水利设施用地及林地。评价区内施工河道两侧区域的植被类型主要是农业植被，区内未发现古树名木和国家重点保护植物。项目建设对陆生植物的影响主要体现在项目施工场地以及临时堆料场区。</w:t>
            </w:r>
          </w:p>
          <w:p>
            <w:pPr>
              <w:spacing w:line="360" w:lineRule="auto"/>
              <w:ind w:firstLine="480" w:firstLineChars="200"/>
              <w:rPr>
                <w:color w:val="auto"/>
                <w:sz w:val="24"/>
              </w:rPr>
            </w:pPr>
            <w:r>
              <w:rPr>
                <w:color w:val="auto"/>
                <w:sz w:val="24"/>
              </w:rPr>
              <w:t>施工占地区内的植被将因侵占而遭到损毁，导致一定植物群落生物量损失。但临时占地在施工期结束后可以重新种植植被（须采取平整、消除硬化等工程措施），使植物损失得到一定程度的恢复，植被恢复后对占地区域影响小。</w:t>
            </w:r>
          </w:p>
          <w:p>
            <w:pPr>
              <w:spacing w:line="360" w:lineRule="auto"/>
              <w:ind w:firstLine="480" w:firstLineChars="200"/>
              <w:rPr>
                <w:color w:val="auto"/>
                <w:sz w:val="24"/>
              </w:rPr>
            </w:pPr>
            <w:r>
              <w:rPr>
                <w:color w:val="auto"/>
                <w:sz w:val="24"/>
              </w:rPr>
              <w:t>此外，工程开始施工后，工程区内人为活动程度剧烈，车辆的运输、基坑开挖会产生一些粉尘、废燃油废气、废水，人员的生活会产生生活污水和废渣。这些活动都会污染周围植被环境，对施工区域及周边的植物植被造成不同程度的影响，可能导致植物植株生长不良、对个体造成损伤，主要表现在：</w:t>
            </w:r>
          </w:p>
          <w:p>
            <w:pPr>
              <w:numPr>
                <w:ilvl w:val="0"/>
                <w:numId w:val="11"/>
              </w:numPr>
              <w:spacing w:line="360" w:lineRule="auto"/>
              <w:ind w:firstLine="480" w:firstLineChars="200"/>
              <w:rPr>
                <w:color w:val="auto"/>
                <w:sz w:val="24"/>
              </w:rPr>
            </w:pPr>
            <w:r>
              <w:rPr>
                <w:color w:val="auto"/>
                <w:sz w:val="24"/>
              </w:rPr>
              <w:t>粉尘和废气的排放会改变工程周边的生境条件，使空气湿度降低，环境变得干燥，迫使偏湿性草本植物分布区退缩，改变堤坝周围植被的草本层结构。同时会影响改变植物生存区的大气环境，影响植物进行光合作用和呼吸作用，有害废气的排放会使植物被动地调整和改变自身的组织结构与代谢。</w:t>
            </w:r>
          </w:p>
          <w:p>
            <w:pPr>
              <w:numPr>
                <w:ilvl w:val="0"/>
                <w:numId w:val="11"/>
              </w:numPr>
              <w:spacing w:line="360" w:lineRule="auto"/>
              <w:ind w:firstLine="480" w:firstLineChars="200"/>
              <w:rPr>
                <w:color w:val="auto"/>
                <w:sz w:val="24"/>
              </w:rPr>
            </w:pPr>
            <w:r>
              <w:rPr>
                <w:color w:val="auto"/>
                <w:sz w:val="24"/>
              </w:rPr>
              <w:t>废水的排出主要是给各施工点附近地带的植被带来影响，改植物根部的吸水与矿物质的吸收过程。</w:t>
            </w:r>
          </w:p>
          <w:p>
            <w:pPr>
              <w:numPr>
                <w:ilvl w:val="0"/>
                <w:numId w:val="11"/>
              </w:numPr>
              <w:spacing w:line="360" w:lineRule="auto"/>
              <w:ind w:firstLine="480" w:firstLineChars="200"/>
              <w:rPr>
                <w:color w:val="auto"/>
                <w:sz w:val="24"/>
              </w:rPr>
            </w:pPr>
            <w:r>
              <w:rPr>
                <w:color w:val="auto"/>
                <w:sz w:val="24"/>
              </w:rPr>
              <w:t>施工及车辆经过时产生的粉尘可以飘向远处附着在植物表面特别是堆积在植物气孔处影响植物的光合作用和呼吸作用。</w:t>
            </w:r>
          </w:p>
          <w:p>
            <w:pPr>
              <w:spacing w:line="360" w:lineRule="auto"/>
              <w:ind w:firstLine="480" w:firstLineChars="200"/>
              <w:rPr>
                <w:color w:val="auto"/>
                <w:sz w:val="24"/>
              </w:rPr>
            </w:pPr>
            <w:r>
              <w:rPr>
                <w:color w:val="auto"/>
                <w:sz w:val="24"/>
              </w:rPr>
              <w:t>本环评要求施工单位在施工过程中要加强施工管理，在土石方开挖时及时进行洒水降尘，并及时对项目沿线道路进行洒水降尘，同时对运输车辆进行封闭或采用篷布覆盖，尽量保持车辆轮胎湿润，减少起尘量。在落实项目扬尘治理措施的前提下，项目施工对陆生植被的影响较小。</w:t>
            </w:r>
          </w:p>
          <w:p>
            <w:pPr>
              <w:spacing w:line="360" w:lineRule="auto"/>
              <w:ind w:firstLine="482" w:firstLineChars="200"/>
              <w:rPr>
                <w:b/>
                <w:bCs/>
                <w:color w:val="auto"/>
                <w:sz w:val="24"/>
              </w:rPr>
            </w:pPr>
            <w:r>
              <w:rPr>
                <w:b/>
                <w:bCs/>
                <w:color w:val="auto"/>
                <w:sz w:val="24"/>
              </w:rPr>
              <w:t>（2）陆生动物影响分析</w:t>
            </w:r>
          </w:p>
          <w:p>
            <w:pPr>
              <w:spacing w:line="360" w:lineRule="auto"/>
              <w:ind w:firstLine="482" w:firstLineChars="200"/>
              <w:rPr>
                <w:color w:val="auto"/>
                <w:sz w:val="24"/>
              </w:rPr>
            </w:pPr>
            <w:r>
              <w:rPr>
                <w:b/>
                <w:bCs/>
                <w:color w:val="auto"/>
                <w:sz w:val="24"/>
              </w:rPr>
              <w:t>对两栖动物的影响：</w:t>
            </w:r>
            <w:r>
              <w:rPr>
                <w:color w:val="auto"/>
                <w:sz w:val="24"/>
              </w:rPr>
              <w:t>项目区域内分布的两栖类动物均属分布范围广、种群数量较大的常见种，局部地段的个体受到损害，不会造成整个评价区域内这些两栖类物种的消失。工程施工过程中，过往的施工车辆可能导致部分两栖类被碾压致死；在工程施工过程机器和车辆若有漏油情况发生，也可能会直接导致一些两栖类生境的破坏。工程运营期随着施工人员和机械的撤离，人为干扰逐渐减弱，由于工程建设而破坏的栖息地慢慢地恢复，部分两栖类动物将迁移至该区域，使其物种丰富度和种群数量逐步向占前水平恢复。</w:t>
            </w:r>
          </w:p>
          <w:p>
            <w:pPr>
              <w:spacing w:line="360" w:lineRule="auto"/>
              <w:ind w:firstLine="482" w:firstLineChars="200"/>
              <w:rPr>
                <w:color w:val="auto"/>
                <w:sz w:val="24"/>
              </w:rPr>
            </w:pPr>
            <w:r>
              <w:rPr>
                <w:b/>
                <w:bCs/>
                <w:color w:val="auto"/>
                <w:sz w:val="24"/>
              </w:rPr>
              <w:t>对爬行动物的影响：</w:t>
            </w:r>
            <w:r>
              <w:rPr>
                <w:color w:val="auto"/>
                <w:sz w:val="24"/>
              </w:rPr>
              <w:t>施工过程中的开挖和人员的噪声等会对爬行动物的正常活动造成一定干扰，噪声的干扰可能导致这些爬行动物迁离原有栖息地而避开噪声干扰；道路和临时堆料场的掩埋也可能会直接破坏一部分爬行动物的栖息地，导致爬行动物栖息地面积减少。施工期区域内的爬行类种群数量将在一定程度上减小，但区内爬行类具有分布范围广、适应能力强的特点，而且其独特的生理构造可以对即将发生的危险及早做出反应，其减少的数量不会超过10%，影响较小。工程运营期随着施工人员和机械的撤离，人为干扰逐渐减弱，由于工程建设而破坏的栖息地慢慢地恢复，部分爬行类动物将迁移至该区域，使其物种丰富度和种群数量逐步向占前水平恢复。</w:t>
            </w:r>
          </w:p>
          <w:p>
            <w:pPr>
              <w:spacing w:line="360" w:lineRule="auto"/>
              <w:ind w:firstLine="482" w:firstLineChars="200"/>
              <w:rPr>
                <w:color w:val="auto"/>
                <w:sz w:val="24"/>
              </w:rPr>
            </w:pPr>
            <w:r>
              <w:rPr>
                <w:b/>
                <w:bCs/>
                <w:color w:val="auto"/>
                <w:sz w:val="24"/>
              </w:rPr>
              <w:t>对鸟类的影响：</w:t>
            </w:r>
            <w:r>
              <w:rPr>
                <w:color w:val="auto"/>
                <w:sz w:val="24"/>
              </w:rPr>
              <w:t>由于鸟类能够飞翔，运动能力强，施工一开始，它们就可以迅速离开施工场地。另一方面，施工项目施工区域将形成一个影响面，评价区鸟类将远离开施工区域以避免干扰。</w:t>
            </w:r>
          </w:p>
          <w:p>
            <w:pPr>
              <w:spacing w:line="360" w:lineRule="auto"/>
              <w:ind w:firstLine="482" w:firstLineChars="200"/>
              <w:rPr>
                <w:color w:val="auto"/>
                <w:sz w:val="24"/>
              </w:rPr>
            </w:pPr>
            <w:r>
              <w:rPr>
                <w:b/>
                <w:bCs/>
                <w:color w:val="auto"/>
                <w:sz w:val="24"/>
              </w:rPr>
              <w:t>对兽类的影响：</w:t>
            </w:r>
            <w:r>
              <w:rPr>
                <w:color w:val="auto"/>
                <w:sz w:val="24"/>
              </w:rPr>
              <w:t>就整个评价区而言，受影响最大的为褐家鼠、社鼠、小家鼠等兽类，但因其活动范围大，迁徙能力强，受施工因素影响，只是活动范围变化，而种群数量比例不会发生明显变化，影响较小。</w:t>
            </w:r>
          </w:p>
          <w:p>
            <w:pPr>
              <w:spacing w:line="360" w:lineRule="auto"/>
              <w:ind w:firstLine="482" w:firstLineChars="200"/>
              <w:rPr>
                <w:b/>
                <w:bCs/>
                <w:color w:val="auto"/>
                <w:sz w:val="24"/>
              </w:rPr>
            </w:pPr>
            <w:r>
              <w:rPr>
                <w:b/>
                <w:bCs/>
                <w:color w:val="auto"/>
                <w:sz w:val="24"/>
              </w:rPr>
              <w:t>（3）施工导致水土流失影响分析</w:t>
            </w:r>
          </w:p>
          <w:p>
            <w:pPr>
              <w:pStyle w:val="233"/>
              <w:ind w:firstLine="480"/>
              <w:jc w:val="left"/>
              <w:rPr>
                <w:rFonts w:eastAsia="宋体"/>
                <w:color w:val="auto"/>
              </w:rPr>
            </w:pPr>
            <w:r>
              <w:rPr>
                <w:rFonts w:eastAsia="宋体"/>
                <w:color w:val="auto"/>
              </w:rPr>
              <w:t>由本项目水土保持设方案报告可知，本项目施工区域均为水力轻度侵蚀区，区域容许土壤流失量为500t/km²·a，项目占地范围内平均土壤侵蚀模数为640t/km²·a。项目的建设扰动将将产生土壤流失量941.49t，其中背景流失量为118.22t，新增水土流失量为823.27t。项目施工期新增水土流失量648.07t，占新增水土流失总量的78.72％，因此水土流失防治的重点时段是施工期；防洪治理工程区新增水土流失量为782.96t，占新增水土流失流失总量的975.10%，因此水土流失的重点为防洪治理工程区，因此水土流失防治的重点时段是施工期，重点为防洪治理工程区。施工期是项目建设过程中产生水土流失最为严重的时期，必须加强施工期的管理和预防措施。水土保持设计中提出的施工期水土流失预防措施主要包括防雨布覆盖、临时排水沉淀措施等。工程在投入营运后水土流失将逐步稳定，待到河道河槽归顺，边坡稳定后，因项目施工导致的水土流失将得到有效控制，并能恢复和改善了当地的生态环境，将用地范围内的水土流失达到轻度以下水平。</w:t>
            </w:r>
          </w:p>
          <w:p>
            <w:pPr>
              <w:spacing w:line="360" w:lineRule="auto"/>
              <w:ind w:firstLine="482" w:firstLineChars="200"/>
              <w:rPr>
                <w:b/>
                <w:bCs/>
                <w:color w:val="auto"/>
                <w:sz w:val="24"/>
              </w:rPr>
            </w:pPr>
            <w:r>
              <w:rPr>
                <w:b/>
                <w:bCs/>
                <w:color w:val="auto"/>
                <w:sz w:val="24"/>
              </w:rPr>
              <w:t>4、施工期对水生生态影响分析</w:t>
            </w:r>
          </w:p>
          <w:p>
            <w:pPr>
              <w:spacing w:line="360" w:lineRule="auto"/>
              <w:ind w:firstLine="480" w:firstLineChars="200"/>
              <w:rPr>
                <w:color w:val="auto"/>
                <w:sz w:val="24"/>
              </w:rPr>
            </w:pPr>
            <w:r>
              <w:rPr>
                <w:color w:val="auto"/>
                <w:sz w:val="24"/>
              </w:rPr>
              <w:t>施工过程期间项目涉及区域水质将受到一定程度的扰动，局部水域悬浮物浓度将增加，水生生物的栖息环境受到一定影响。</w:t>
            </w:r>
          </w:p>
          <w:p>
            <w:pPr>
              <w:spacing w:line="360" w:lineRule="auto"/>
              <w:ind w:firstLine="482" w:firstLineChars="200"/>
              <w:rPr>
                <w:b/>
                <w:bCs/>
                <w:color w:val="auto"/>
                <w:sz w:val="24"/>
              </w:rPr>
            </w:pPr>
            <w:r>
              <w:rPr>
                <w:b/>
                <w:bCs/>
                <w:color w:val="auto"/>
                <w:sz w:val="24"/>
              </w:rPr>
              <w:t>（1）对鱼类资源的影响</w:t>
            </w:r>
          </w:p>
          <w:p>
            <w:pPr>
              <w:spacing w:line="360" w:lineRule="auto"/>
              <w:ind w:firstLine="480" w:firstLineChars="200"/>
              <w:rPr>
                <w:color w:val="auto"/>
                <w:sz w:val="24"/>
              </w:rPr>
            </w:pPr>
            <w:r>
              <w:rPr>
                <w:color w:val="auto"/>
                <w:sz w:val="24"/>
              </w:rPr>
              <w:t>项目施工过程中，水体由于受到施工扰动，施工区及其附近水域水质下降，悬浮物浓度增加，透明度降低，水生植物也将受到不同程度的破坏，鱼类栖息和觅食环境将受到一定不利影响；施工机械及人员的频繁活动，将对施工区及其附近水域的鱼类造成一定惊扰。</w:t>
            </w:r>
          </w:p>
          <w:p>
            <w:pPr>
              <w:spacing w:line="360" w:lineRule="auto"/>
              <w:ind w:firstLine="480" w:firstLineChars="200"/>
              <w:rPr>
                <w:color w:val="auto"/>
                <w:sz w:val="24"/>
              </w:rPr>
            </w:pPr>
            <w:r>
              <w:rPr>
                <w:color w:val="auto"/>
                <w:sz w:val="24"/>
              </w:rPr>
              <w:t>施工过程中除了在进行围堰入水时对河床造成扰动，其他工序均不涉水，定点进行。</w:t>
            </w:r>
          </w:p>
          <w:p>
            <w:pPr>
              <w:spacing w:line="360" w:lineRule="auto"/>
              <w:ind w:firstLine="480" w:firstLineChars="200"/>
              <w:rPr>
                <w:color w:val="auto"/>
                <w:sz w:val="24"/>
              </w:rPr>
            </w:pPr>
            <w:r>
              <w:rPr>
                <w:color w:val="auto"/>
                <w:sz w:val="24"/>
              </w:rPr>
              <w:t>根据多年降雨资料，项目区属亚热带湿润季风气候，气候温暖潮湿，四季分明，雨量充沛，具有冬暖、春早、夏旱、秋绵雨、多云雾、少霜雪的气候特点，立体气候特征明显。多年平均降雨量1136.1mm，降雨多集中在5-10月，占全年降雨量的86.8%，夏季多大雨和暴雨，最大日降雨量260.3mm。多年平均相对湿度74％。因此春季降水量较少，渠道内主要为周边城区汇集的天然降水，来水量较小，对河道内鱼类影响较小。同时，项目围堰的面积较小，施工段均较短，且为分段施工，因此整体来说对区域的水体扰动较小。另外，施工期间禁止向水体中抛弃废物，不会对河流水土造成污染。此外本报告要求建设单位施工人员在施工期内不得随意捕杀周边水域鱼类，不得随意排放污水至周边水体中，尽可能减少对鱼类的影响。因此，项目在采取以上措施后，涉水施工亦不会对水体水质构成明显不利影响，对鱼类造成影响较小。</w:t>
            </w:r>
          </w:p>
          <w:p>
            <w:pPr>
              <w:spacing w:line="360" w:lineRule="auto"/>
              <w:ind w:firstLine="482" w:firstLineChars="200"/>
              <w:rPr>
                <w:b/>
                <w:bCs/>
                <w:color w:val="auto"/>
                <w:sz w:val="24"/>
              </w:rPr>
            </w:pPr>
            <w:r>
              <w:rPr>
                <w:b/>
                <w:bCs/>
                <w:color w:val="auto"/>
                <w:sz w:val="24"/>
              </w:rPr>
              <w:t>（2）对浮游生物的影响</w:t>
            </w:r>
          </w:p>
          <w:p>
            <w:pPr>
              <w:spacing w:line="360" w:lineRule="auto"/>
              <w:ind w:firstLine="480" w:firstLineChars="200"/>
              <w:rPr>
                <w:color w:val="auto"/>
                <w:sz w:val="24"/>
              </w:rPr>
            </w:pPr>
            <w:r>
              <w:rPr>
                <w:color w:val="auto"/>
                <w:sz w:val="24"/>
                <w:lang w:eastAsia="ja-JP"/>
              </w:rPr>
              <w:t>①</w:t>
            </w:r>
            <w:r>
              <w:rPr>
                <w:color w:val="auto"/>
                <w:sz w:val="24"/>
              </w:rPr>
              <w:t>对浮游植物的影响：因施工活动对水体的扰动，将使项目区近水体浑浊度增加，水体变浑浊一方面使水体透明度下降，改变了水下光照条件，浮游植物的光合作用受到抑制；同时悬浮物作为物理屏障，也会阻碍水体中气体交换，对水体中溶解氧造成影响，进而影响富有植物的生长，使施工期间浮游藻类的种类组成和密度下降。</w:t>
            </w:r>
          </w:p>
          <w:p>
            <w:pPr>
              <w:spacing w:line="360" w:lineRule="auto"/>
              <w:ind w:firstLine="480" w:firstLineChars="200"/>
              <w:rPr>
                <w:color w:val="auto"/>
                <w:sz w:val="24"/>
              </w:rPr>
            </w:pPr>
            <w:r>
              <w:rPr>
                <w:color w:val="auto"/>
                <w:sz w:val="24"/>
              </w:rPr>
              <w:t>根据项目初步设计，本工程施工区域生产废水经处理后回用不外排；生活污水依托租用居民房屋已建化粪池处理后用于周边农田及林地施肥，不外排，对水质影响较小。</w:t>
            </w:r>
          </w:p>
          <w:p>
            <w:pPr>
              <w:spacing w:line="360" w:lineRule="auto"/>
              <w:ind w:firstLine="480" w:firstLineChars="200"/>
              <w:rPr>
                <w:color w:val="auto"/>
                <w:sz w:val="24"/>
              </w:rPr>
            </w:pPr>
            <w:r>
              <w:rPr>
                <w:color w:val="auto"/>
                <w:sz w:val="24"/>
              </w:rPr>
              <w:t>②对浮游动物的影响：项目施工活动引起水体中悬浮物浓度的增加对浮游动物也产生间接或直接的影响。首先，水体变浑浊导致的浮游植物种类和数量的减少，会直接使以浮游植物为食的浮游动物数量减少，同时水中悬浮物质会直接导致浮游动物的死亡。其次，悬浮物中一些碎屑和无机固体物质可以妨碍浮游动物对食物的摄取、或者稀释肠中的内容物从而减少对食物的吸收，如可以减少多种藻属和其它枝角类的摄食率、生长率和竞争能力。</w:t>
            </w:r>
          </w:p>
          <w:p>
            <w:pPr>
              <w:spacing w:line="360" w:lineRule="auto"/>
              <w:ind w:firstLine="480" w:firstLineChars="200"/>
              <w:rPr>
                <w:color w:val="auto"/>
                <w:sz w:val="24"/>
              </w:rPr>
            </w:pPr>
            <w:r>
              <w:rPr>
                <w:color w:val="auto"/>
                <w:sz w:val="24"/>
              </w:rPr>
              <w:t>本项目堤防基础工程施工中将采取围堰施工以及分段施工的方式，可以控制浮游生物受影响的区域范围，引起的悬浮物在经过长距离的沉淀，进一步减轻对水生生物的影响，施工结束后，随着稀释和水体的自净作用，水质逐渐改良，浮游动物可恢复到施工前的水平。</w:t>
            </w:r>
          </w:p>
          <w:p>
            <w:pPr>
              <w:spacing w:line="360" w:lineRule="auto"/>
              <w:ind w:firstLine="482" w:firstLineChars="200"/>
              <w:rPr>
                <w:b/>
                <w:bCs/>
                <w:color w:val="auto"/>
                <w:sz w:val="24"/>
              </w:rPr>
            </w:pPr>
            <w:r>
              <w:rPr>
                <w:b/>
                <w:bCs/>
                <w:color w:val="auto"/>
                <w:sz w:val="24"/>
              </w:rPr>
              <w:t>（3）对底栖动物的影响</w:t>
            </w:r>
          </w:p>
          <w:p>
            <w:pPr>
              <w:spacing w:line="360" w:lineRule="auto"/>
              <w:ind w:firstLine="480" w:firstLineChars="200"/>
              <w:rPr>
                <w:color w:val="auto"/>
                <w:sz w:val="24"/>
              </w:rPr>
            </w:pPr>
            <w:r>
              <w:rPr>
                <w:color w:val="auto"/>
                <w:sz w:val="24"/>
              </w:rPr>
              <w:t>底栖动物长期生活在底泥中，具有区域性强，迁移能力弱等特点，其对环境突然改变，通常没有或者很少有回避能力，而大面积底泥的挖除，会使各类底栖生物的生境受到严重影响，大部分将死亡。</w:t>
            </w:r>
          </w:p>
          <w:p>
            <w:pPr>
              <w:spacing w:line="360" w:lineRule="auto"/>
              <w:ind w:firstLine="480" w:firstLineChars="200"/>
              <w:rPr>
                <w:color w:val="auto"/>
                <w:sz w:val="24"/>
              </w:rPr>
            </w:pPr>
            <w:r>
              <w:rPr>
                <w:color w:val="auto"/>
                <w:sz w:val="24"/>
              </w:rPr>
              <w:t>本项目由于工程施工期间的临时围堰开挖、基坑排水等，必然对施工区域河道底质造成剧烈扰动，并导致局部水域变浑浊或pH改变，造成部分水域底栖无脊椎动物的种类构成发生明显变化，生物量将有所下降。项目河道分段清淤，对底泥的扰动范围有限，随着施工结束，河道基本恢复正常，这些影响将得到明显减缓至消失，底栖无脊椎动物也会逐步恢复。</w:t>
            </w:r>
          </w:p>
          <w:p>
            <w:pPr>
              <w:spacing w:line="360" w:lineRule="auto"/>
              <w:ind w:firstLine="480" w:firstLineChars="200"/>
              <w:rPr>
                <w:color w:val="auto"/>
                <w:sz w:val="24"/>
              </w:rPr>
            </w:pPr>
            <w:r>
              <w:rPr>
                <w:color w:val="auto"/>
                <w:sz w:val="24"/>
              </w:rPr>
              <w:t>总体来说对底栖生物构成的影响较小，可以接受。</w:t>
            </w:r>
          </w:p>
          <w:p>
            <w:pPr>
              <w:spacing w:line="360" w:lineRule="auto"/>
              <w:ind w:firstLine="482" w:firstLineChars="200"/>
              <w:rPr>
                <w:b/>
                <w:bCs/>
                <w:color w:val="auto"/>
                <w:sz w:val="24"/>
              </w:rPr>
            </w:pPr>
            <w:r>
              <w:rPr>
                <w:b/>
                <w:bCs/>
                <w:color w:val="auto"/>
                <w:sz w:val="24"/>
              </w:rPr>
              <w:t>5、施工期对四川嘉陵江源湿地市级自然保护区生态影响分析</w:t>
            </w:r>
          </w:p>
          <w:p>
            <w:pPr>
              <w:spacing w:line="360" w:lineRule="auto"/>
              <w:ind w:firstLine="480" w:firstLineChars="200"/>
              <w:rPr>
                <w:color w:val="auto"/>
                <w:sz w:val="24"/>
              </w:rPr>
            </w:pPr>
            <w:r>
              <w:rPr>
                <w:color w:val="auto"/>
                <w:sz w:val="24"/>
              </w:rPr>
              <w:t>本项目将新增占用保护区土地4.537hm</w:t>
            </w:r>
            <w:r>
              <w:rPr>
                <w:color w:val="auto"/>
                <w:sz w:val="24"/>
                <w:vertAlign w:val="superscript"/>
              </w:rPr>
              <w:t>2</w:t>
            </w:r>
            <w:r>
              <w:rPr>
                <w:color w:val="auto"/>
                <w:sz w:val="24"/>
              </w:rPr>
              <w:t>，地类主要是耕地和滩涂。工程保护区内占地面积占保护区土地总面积的0.06%，大于0.01%。本项目部分建设段在嘉陵江源湿地自然保护区实验区范围内，长度约1883m（2段堤防1609m，围堰274m，工程清淤区位于保护区外侧），</w:t>
            </w:r>
            <w:r>
              <w:rPr>
                <w:rFonts w:hint="eastAsia"/>
                <w:color w:val="auto"/>
                <w:sz w:val="24"/>
                <w:lang w:eastAsia="zh-CN"/>
              </w:rPr>
              <w:t>不涉及核心区</w:t>
            </w:r>
            <w:r>
              <w:rPr>
                <w:color w:val="auto"/>
                <w:sz w:val="24"/>
              </w:rPr>
              <w:t>及缓冲区。本项目为防洪治理工程，不属于污染环境、破坏资源或者景观的生产设施。</w:t>
            </w:r>
          </w:p>
          <w:p>
            <w:pPr>
              <w:spacing w:line="360" w:lineRule="auto"/>
              <w:ind w:firstLine="482" w:firstLineChars="200"/>
              <w:rPr>
                <w:b/>
                <w:bCs/>
                <w:color w:val="auto"/>
                <w:sz w:val="24"/>
              </w:rPr>
            </w:pPr>
            <w:r>
              <w:rPr>
                <w:b/>
                <w:bCs/>
                <w:color w:val="auto"/>
                <w:sz w:val="24"/>
              </w:rPr>
              <w:t>（1）对自然景观的影响</w:t>
            </w:r>
          </w:p>
          <w:p>
            <w:pPr>
              <w:spacing w:line="360" w:lineRule="auto"/>
              <w:ind w:firstLine="480" w:firstLineChars="200"/>
              <w:rPr>
                <w:color w:val="auto"/>
                <w:sz w:val="24"/>
              </w:rPr>
            </w:pPr>
            <w:r>
              <w:rPr>
                <w:color w:val="auto"/>
                <w:sz w:val="24"/>
              </w:rPr>
              <w:t>施工期受施工占地等因素的影响，干扰部分动物栖息地环境，评价区域内的生物景观将会受到影响。但评价区域内自然景观类型依然包括地文资源、水文资源、生物资源、人文资源、天象资源等五种风景资源类型，因施工占地，占地区的景观受一定影响，施工噪声也可能影响评价区内野生动物的分布状况。但其景观类型数不会因工程建设发生较大变化。</w:t>
            </w:r>
          </w:p>
          <w:p>
            <w:pPr>
              <w:spacing w:line="360" w:lineRule="auto"/>
              <w:ind w:firstLine="480" w:firstLineChars="200"/>
              <w:rPr>
                <w:color w:val="auto"/>
                <w:sz w:val="24"/>
              </w:rPr>
            </w:pPr>
            <w:r>
              <w:rPr>
                <w:color w:val="auto"/>
                <w:sz w:val="24"/>
              </w:rPr>
              <w:t>施工期受施工占地等因素的影响，破坏部分动物栖息地环境，评价区域内的生物景观将会受到影响，其分值将会降低。根据《中国森林公园风景资源质量等级评定》（GBT18005-1999）中的原则和方法，综合考虑各自然景观资源变化情况，结合各评价因子（不考虑环境质量和旅游开发利用条件）强弱等级给予赋分，施工期其自然景观资源质量评价值为10.8，相对现状值变化很微弱，其资源质量等级不会发生变化。施工期围堰的存在，进一步影响了河道景观的自然度。</w:t>
            </w:r>
          </w:p>
          <w:p>
            <w:pPr>
              <w:spacing w:line="360" w:lineRule="auto"/>
              <w:ind w:firstLine="482" w:firstLineChars="200"/>
              <w:rPr>
                <w:b/>
                <w:bCs/>
                <w:color w:val="auto"/>
                <w:sz w:val="24"/>
              </w:rPr>
            </w:pPr>
            <w:r>
              <w:rPr>
                <w:b/>
                <w:bCs/>
                <w:color w:val="auto"/>
                <w:sz w:val="24"/>
              </w:rPr>
              <w:t>（2）对保护区野生动物多样性的影响</w:t>
            </w:r>
          </w:p>
          <w:p>
            <w:pPr>
              <w:spacing w:line="360" w:lineRule="auto"/>
              <w:ind w:firstLine="480" w:firstLineChars="200"/>
              <w:rPr>
                <w:color w:val="auto"/>
                <w:sz w:val="24"/>
              </w:rPr>
            </w:pPr>
            <w:r>
              <w:rPr>
                <w:color w:val="auto"/>
                <w:sz w:val="24"/>
              </w:rPr>
              <w:t>受施工占地、人为捕杀、施工损伤和大气污染、水污染、噪声、灯光、振动等因素影响，动物资源的分布格局、物种多样性和种群数量将受到一定影响，但这些影响不会导致评价区内某个物种消失，也不会明显改变评价区内物种的分布格局和种群数量。</w:t>
            </w:r>
          </w:p>
          <w:p>
            <w:pPr>
              <w:spacing w:line="360" w:lineRule="auto"/>
              <w:ind w:firstLine="482" w:firstLineChars="200"/>
              <w:rPr>
                <w:b/>
                <w:bCs/>
                <w:color w:val="auto"/>
                <w:sz w:val="24"/>
              </w:rPr>
            </w:pPr>
            <w:r>
              <w:rPr>
                <w:b/>
                <w:bCs/>
                <w:color w:val="auto"/>
                <w:sz w:val="24"/>
              </w:rPr>
              <w:t>（3）对保护区主要保护对象的影响</w:t>
            </w:r>
          </w:p>
          <w:p>
            <w:pPr>
              <w:spacing w:line="360" w:lineRule="auto"/>
              <w:ind w:firstLine="480" w:firstLineChars="200"/>
              <w:rPr>
                <w:color w:val="auto"/>
                <w:sz w:val="24"/>
              </w:rPr>
            </w:pPr>
            <w:r>
              <w:rPr>
                <w:color w:val="auto"/>
                <w:sz w:val="24"/>
              </w:rPr>
              <w:t>评价区内无国家级重点保护区野生植物分布，有国家Ⅱ级重点保护鸟类3种。工程建设直接占地范围内没有保护动物的分布，所以工程建设不会直接造成其数量的减少。在采取严格保护管理措施和优化施工工艺、施工时序的前提下，</w:t>
            </w:r>
            <w:r>
              <w:rPr>
                <w:b/>
                <w:bCs/>
                <w:color w:val="auto"/>
                <w:sz w:val="24"/>
              </w:rPr>
              <w:t>工程建设对保护区主要保护对象的影响较小。</w:t>
            </w:r>
            <w:r>
              <w:rPr>
                <w:color w:val="auto"/>
                <w:sz w:val="24"/>
              </w:rPr>
              <w:t>工程建设用林地面积极少，不会破坏保护区水源涵养林体系，故工程建设对评价区内的水源涵养林体系造成的影响较小。工程施工改变河岸现状，施工过程中泥沙将进入河流，降低河流水质、增加水流泥沙含量，对施工区段河流中的浮游生物、底栖生物、鱼类将造成一定的不利影响。</w:t>
            </w:r>
          </w:p>
          <w:p>
            <w:pPr>
              <w:spacing w:line="360" w:lineRule="auto"/>
              <w:ind w:firstLine="482" w:firstLineChars="200"/>
              <w:rPr>
                <w:b/>
                <w:bCs/>
                <w:color w:val="auto"/>
                <w:sz w:val="24"/>
              </w:rPr>
            </w:pPr>
            <w:r>
              <w:rPr>
                <w:b/>
                <w:bCs/>
                <w:color w:val="auto"/>
                <w:sz w:val="24"/>
              </w:rPr>
              <w:t>（4）对生态系统结构、组成特征及景观体系的影响</w:t>
            </w:r>
          </w:p>
          <w:p>
            <w:pPr>
              <w:spacing w:line="360" w:lineRule="auto"/>
              <w:ind w:firstLine="480" w:firstLineChars="200"/>
              <w:rPr>
                <w:color w:val="auto"/>
                <w:sz w:val="24"/>
              </w:rPr>
            </w:pPr>
            <w:r>
              <w:rPr>
                <w:color w:val="auto"/>
                <w:sz w:val="24"/>
              </w:rPr>
              <w:t>施工期对保护区生态系统影响不会使生态系统结构发生变化。从空间结构来看，虽然评价区内各生态系统将减4.537hm</w:t>
            </w:r>
            <w:r>
              <w:rPr>
                <w:color w:val="auto"/>
                <w:sz w:val="24"/>
                <w:vertAlign w:val="superscript"/>
              </w:rPr>
              <w:t>2</w:t>
            </w:r>
            <w:r>
              <w:rPr>
                <w:color w:val="auto"/>
                <w:sz w:val="24"/>
              </w:rPr>
              <w:t>，占保护区各生态系统总面积的0.06%（变化大于0.01%），但是不会造成生态系统类型的减少。从物种结构来看，目前生长于评价区内的动物、植物、微生物种群数量有一定变化，而适生于裸露环境的小型动物、微生物等物种将有所增加。从生态系统基本成分来看，由于施工扰动，评价区内作为生产者的各种陆生植物、水生高等植物和藻类以及一些光能细菌和化能细菌将减少；作为消耗者的现有适生动物也将减少，而适生于工程附近环境的小型动物又有可能增多；作为还原者的细菌、真菌、放线菌和原生动物等因占地也将明显减少；作为非生物环境的大气、声、水环境质量将不同程度地有所降低。</w:t>
            </w:r>
          </w:p>
          <w:p>
            <w:pPr>
              <w:spacing w:line="360" w:lineRule="auto"/>
              <w:ind w:firstLine="480" w:firstLineChars="200"/>
              <w:rPr>
                <w:color w:val="auto"/>
                <w:sz w:val="24"/>
              </w:rPr>
            </w:pPr>
            <w:r>
              <w:rPr>
                <w:color w:val="auto"/>
                <w:sz w:val="24"/>
              </w:rPr>
              <w:t>工程施工期对湿地、农田、人工生态系统的造成景观斑块破碎。运营期，在不发生火灾、危险品泄露等重大安全事故的前提下，保护区内生态系统组成和景观体系格局不会受到大的影响。但是，由于河堤将在保护区内长期存在，因此人造建筑物对保护区景观自然性的破坏将长期存在，工程运营对区内视觉景观受到工程的影响较明显。</w:t>
            </w:r>
          </w:p>
          <w:p>
            <w:pPr>
              <w:spacing w:line="360" w:lineRule="auto"/>
              <w:ind w:firstLine="482" w:firstLineChars="200"/>
              <w:rPr>
                <w:rFonts w:hint="default" w:eastAsia="宋体"/>
                <w:b/>
                <w:bCs/>
                <w:color w:val="auto"/>
                <w:sz w:val="24"/>
                <w:lang w:val="en-US" w:eastAsia="zh-CN"/>
              </w:rPr>
            </w:pPr>
            <w:r>
              <w:rPr>
                <w:rFonts w:hint="eastAsia"/>
                <w:b/>
                <w:bCs/>
                <w:color w:val="auto"/>
                <w:sz w:val="24"/>
                <w:lang w:val="en-US" w:eastAsia="zh-CN"/>
              </w:rPr>
              <w:t>6、施工期生态影响小结</w:t>
            </w:r>
          </w:p>
          <w:p>
            <w:pPr>
              <w:spacing w:line="360" w:lineRule="auto"/>
              <w:ind w:firstLine="480" w:firstLineChars="200"/>
              <w:rPr>
                <w:color w:val="auto"/>
                <w:sz w:val="24"/>
              </w:rPr>
            </w:pPr>
            <w:r>
              <w:rPr>
                <w:color w:val="auto"/>
                <w:sz w:val="24"/>
              </w:rPr>
              <w:t>总体来说，本项目的建设会对</w:t>
            </w:r>
            <w:r>
              <w:rPr>
                <w:rFonts w:hint="eastAsia"/>
                <w:color w:val="auto"/>
                <w:sz w:val="24"/>
                <w:lang w:val="en-US" w:eastAsia="zh-CN"/>
              </w:rPr>
              <w:t>区域生态</w:t>
            </w:r>
            <w:r>
              <w:rPr>
                <w:color w:val="auto"/>
                <w:sz w:val="24"/>
              </w:rPr>
              <w:t>造成一定不利影响，但这种影响是暂时的、可控的，</w:t>
            </w:r>
            <w:r>
              <w:rPr>
                <w:rFonts w:hint="eastAsia"/>
                <w:color w:val="auto"/>
                <w:sz w:val="24"/>
                <w:lang w:val="en-US" w:eastAsia="zh-CN"/>
              </w:rPr>
              <w:t>本工程主体工程施工已基本结束，施工单位</w:t>
            </w:r>
            <w:r>
              <w:rPr>
                <w:color w:val="auto"/>
                <w:sz w:val="24"/>
              </w:rPr>
              <w:t>严格执行</w:t>
            </w:r>
            <w:r>
              <w:rPr>
                <w:rFonts w:hint="eastAsia"/>
                <w:color w:val="auto"/>
                <w:sz w:val="24"/>
                <w:lang w:eastAsia="zh-CN"/>
              </w:rPr>
              <w:t>了</w:t>
            </w:r>
            <w:r>
              <w:rPr>
                <w:rFonts w:hint="eastAsia"/>
                <w:color w:val="auto"/>
                <w:sz w:val="24"/>
                <w:lang w:val="en-US" w:eastAsia="zh-CN"/>
              </w:rPr>
              <w:t>相应生态保护</w:t>
            </w:r>
            <w:r>
              <w:rPr>
                <w:color w:val="auto"/>
                <w:sz w:val="24"/>
              </w:rPr>
              <w:t>环保措施，项目</w:t>
            </w:r>
            <w:r>
              <w:rPr>
                <w:rFonts w:hint="eastAsia"/>
                <w:color w:val="auto"/>
                <w:sz w:val="24"/>
                <w:lang w:val="en-US" w:eastAsia="zh-CN"/>
              </w:rPr>
              <w:t>施工</w:t>
            </w:r>
            <w:r>
              <w:rPr>
                <w:color w:val="auto"/>
                <w:sz w:val="24"/>
              </w:rPr>
              <w:t>对</w:t>
            </w:r>
            <w:r>
              <w:rPr>
                <w:rFonts w:hint="eastAsia"/>
                <w:color w:val="auto"/>
                <w:sz w:val="24"/>
                <w:lang w:val="en-US" w:eastAsia="zh-CN"/>
              </w:rPr>
              <w:t>区域生态</w:t>
            </w:r>
            <w:r>
              <w:rPr>
                <w:color w:val="auto"/>
                <w:sz w:val="24"/>
              </w:rPr>
              <w:t>的不利影响较低。</w:t>
            </w:r>
          </w:p>
          <w:p>
            <w:pPr>
              <w:adjustRightInd w:val="0"/>
              <w:snapToGrid w:val="0"/>
              <w:spacing w:line="360" w:lineRule="auto"/>
              <w:rPr>
                <w:b/>
                <w:color w:val="auto"/>
                <w:spacing w:val="-10"/>
                <w:sz w:val="24"/>
              </w:rPr>
            </w:pPr>
            <w:r>
              <w:rPr>
                <w:b/>
                <w:color w:val="auto"/>
                <w:spacing w:val="-10"/>
                <w:sz w:val="24"/>
              </w:rPr>
              <w:t>二、施工期大气环境影响分析</w:t>
            </w:r>
          </w:p>
          <w:p>
            <w:pPr>
              <w:spacing w:line="360" w:lineRule="auto"/>
              <w:ind w:firstLine="480" w:firstLineChars="200"/>
              <w:rPr>
                <w:color w:val="auto"/>
                <w:sz w:val="24"/>
              </w:rPr>
            </w:pPr>
            <w:r>
              <w:rPr>
                <w:color w:val="auto"/>
                <w:sz w:val="24"/>
              </w:rPr>
              <w:t>施工期废气主要为施工过程中产生的扬尘和汽车尾气。</w:t>
            </w:r>
          </w:p>
          <w:p>
            <w:pPr>
              <w:spacing w:line="360" w:lineRule="auto"/>
              <w:ind w:firstLine="482" w:firstLineChars="200"/>
              <w:rPr>
                <w:b/>
                <w:bCs/>
                <w:color w:val="auto"/>
                <w:sz w:val="24"/>
              </w:rPr>
            </w:pPr>
            <w:r>
              <w:rPr>
                <w:b/>
                <w:bCs/>
                <w:color w:val="auto"/>
                <w:sz w:val="24"/>
              </w:rPr>
              <w:t>1、施工扬尘对大气环境影响分析</w:t>
            </w:r>
          </w:p>
          <w:p>
            <w:pPr>
              <w:spacing w:line="360" w:lineRule="auto"/>
              <w:ind w:firstLine="482" w:firstLineChars="200"/>
              <w:rPr>
                <w:b/>
                <w:bCs/>
                <w:color w:val="auto"/>
                <w:sz w:val="24"/>
              </w:rPr>
            </w:pPr>
            <w:r>
              <w:rPr>
                <w:b/>
                <w:bCs/>
                <w:color w:val="auto"/>
                <w:sz w:val="24"/>
              </w:rPr>
              <w:t>（1）车辆运输扬尘</w:t>
            </w:r>
          </w:p>
          <w:p>
            <w:pPr>
              <w:spacing w:line="360" w:lineRule="auto"/>
              <w:ind w:firstLine="480" w:firstLineChars="200"/>
              <w:rPr>
                <w:color w:val="auto"/>
                <w:sz w:val="24"/>
              </w:rPr>
            </w:pPr>
            <w:r>
              <w:rPr>
                <w:color w:val="auto"/>
                <w:sz w:val="24"/>
              </w:rPr>
              <w:t>据有关调查显示，施工场地的扬尘主要是由运输车辆的行驶产生，约占扬尘总量的60%，而洒水抑尘和保持路面清洁是减少扬尘的最有效手段。</w:t>
            </w:r>
          </w:p>
          <w:p>
            <w:pPr>
              <w:spacing w:line="360" w:lineRule="auto"/>
              <w:ind w:firstLine="480" w:firstLineChars="200"/>
              <w:rPr>
                <w:color w:val="auto"/>
                <w:sz w:val="24"/>
              </w:rPr>
            </w:pPr>
            <w:r>
              <w:rPr>
                <w:color w:val="auto"/>
                <w:sz w:val="24"/>
              </w:rPr>
              <w:t>①路面清洁度与扬尘产生量的关系分析</w:t>
            </w:r>
          </w:p>
          <w:p>
            <w:pPr>
              <w:spacing w:line="360" w:lineRule="auto"/>
              <w:ind w:firstLine="480" w:firstLineChars="200"/>
              <w:rPr>
                <w:color w:val="auto"/>
                <w:sz w:val="24"/>
              </w:rPr>
            </w:pPr>
            <w:r>
              <w:rPr>
                <w:color w:val="auto"/>
                <w:sz w:val="24"/>
              </w:rPr>
              <w:t>车辆在行驶过程中产生的扬尘，在完全干燥的情况下，可以按照经验公式计算：</w:t>
            </w:r>
          </w:p>
          <w:p>
            <w:pPr>
              <w:spacing w:line="360" w:lineRule="auto"/>
              <w:jc w:val="center"/>
              <w:rPr>
                <w:color w:val="auto"/>
                <w:sz w:val="24"/>
              </w:rPr>
            </w:pPr>
            <w:r>
              <w:rPr>
                <w:color w:val="auto"/>
                <w:sz w:val="24"/>
              </w:rPr>
              <w:t>Q=0.123×（V/5）×(W/68)0.85×(P/0.5)0.75</w:t>
            </w:r>
          </w:p>
          <w:p>
            <w:pPr>
              <w:spacing w:line="360" w:lineRule="auto"/>
              <w:ind w:firstLine="480" w:firstLineChars="200"/>
              <w:rPr>
                <w:color w:val="auto"/>
                <w:sz w:val="24"/>
              </w:rPr>
            </w:pPr>
            <w:r>
              <w:rPr>
                <w:color w:val="auto"/>
                <w:sz w:val="24"/>
              </w:rPr>
              <w:t>一辆10吨卡车，通过一段长度为1km的路面时，不同路面清洁程度，不同行驶速度情况下的扬尘量详见下表：</w:t>
            </w:r>
          </w:p>
          <w:p>
            <w:pPr>
              <w:widowControl/>
              <w:numPr>
                <w:ilvl w:val="0"/>
                <w:numId w:val="10"/>
              </w:numPr>
              <w:adjustRightInd w:val="0"/>
              <w:snapToGrid w:val="0"/>
              <w:jc w:val="center"/>
              <w:rPr>
                <w:b/>
                <w:bCs/>
                <w:color w:val="auto"/>
                <w:sz w:val="24"/>
              </w:rPr>
            </w:pPr>
            <w:r>
              <w:rPr>
                <w:b/>
                <w:bCs/>
                <w:color w:val="auto"/>
                <w:szCs w:val="21"/>
              </w:rPr>
              <w:t>在不同车速和地面清洁程度的汽车扬尘 单位：kg/辆·Km</w:t>
            </w:r>
          </w:p>
          <w:tbl>
            <w:tblPr>
              <w:tblStyle w:val="36"/>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160"/>
              <w:gridCol w:w="1160"/>
              <w:gridCol w:w="1160"/>
              <w:gridCol w:w="1160"/>
              <w:gridCol w:w="1161"/>
              <w:gridCol w:w="11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3" w:type="pct"/>
                  <w:tcBorders>
                    <w:bottom w:val="single" w:color="auto" w:sz="4" w:space="0"/>
                    <w:tl2br w:val="single" w:color="auto" w:sz="4" w:space="0"/>
                  </w:tcBorders>
                </w:tcPr>
                <w:p>
                  <w:pPr>
                    <w:pStyle w:val="236"/>
                    <w:rPr>
                      <w:color w:val="auto"/>
                    </w:rPr>
                  </w:pPr>
                  <w:r>
                    <w:rPr>
                      <w:color w:val="auto"/>
                    </w:rPr>
                    <w:t xml:space="preserve">  粉尘量</w:t>
                  </w:r>
                </w:p>
                <w:p>
                  <w:pPr>
                    <w:pStyle w:val="236"/>
                    <w:jc w:val="both"/>
                    <w:rPr>
                      <w:color w:val="auto"/>
                    </w:rPr>
                  </w:pPr>
                  <w:r>
                    <w:rPr>
                      <w:color w:val="auto"/>
                    </w:rPr>
                    <w:t>车速</w:t>
                  </w:r>
                </w:p>
              </w:tc>
              <w:tc>
                <w:tcPr>
                  <w:tcW w:w="714" w:type="pct"/>
                  <w:tcBorders>
                    <w:bottom w:val="single" w:color="auto" w:sz="4" w:space="0"/>
                  </w:tcBorders>
                  <w:vAlign w:val="center"/>
                </w:tcPr>
                <w:p>
                  <w:pPr>
                    <w:pStyle w:val="236"/>
                    <w:rPr>
                      <w:color w:val="auto"/>
                    </w:rPr>
                  </w:pPr>
                  <w:r>
                    <w:rPr>
                      <w:color w:val="auto"/>
                    </w:rPr>
                    <w:t>0.1kg/m</w:t>
                  </w:r>
                  <w:r>
                    <w:rPr>
                      <w:color w:val="auto"/>
                      <w:vertAlign w:val="superscript"/>
                    </w:rPr>
                    <w:t>2</w:t>
                  </w:r>
                </w:p>
              </w:tc>
              <w:tc>
                <w:tcPr>
                  <w:tcW w:w="714" w:type="pct"/>
                  <w:tcBorders>
                    <w:bottom w:val="single" w:color="auto" w:sz="4" w:space="0"/>
                  </w:tcBorders>
                  <w:vAlign w:val="center"/>
                </w:tcPr>
                <w:p>
                  <w:pPr>
                    <w:pStyle w:val="236"/>
                    <w:rPr>
                      <w:color w:val="auto"/>
                    </w:rPr>
                  </w:pPr>
                  <w:r>
                    <w:rPr>
                      <w:color w:val="auto"/>
                    </w:rPr>
                    <w:t>0.2kg/m</w:t>
                  </w:r>
                  <w:r>
                    <w:rPr>
                      <w:color w:val="auto"/>
                      <w:vertAlign w:val="superscript"/>
                    </w:rPr>
                    <w:t>2</w:t>
                  </w:r>
                </w:p>
              </w:tc>
              <w:tc>
                <w:tcPr>
                  <w:tcW w:w="714" w:type="pct"/>
                  <w:tcBorders>
                    <w:bottom w:val="single" w:color="auto" w:sz="4" w:space="0"/>
                  </w:tcBorders>
                  <w:vAlign w:val="center"/>
                </w:tcPr>
                <w:p>
                  <w:pPr>
                    <w:pStyle w:val="236"/>
                    <w:rPr>
                      <w:color w:val="auto"/>
                    </w:rPr>
                  </w:pPr>
                  <w:r>
                    <w:rPr>
                      <w:color w:val="auto"/>
                    </w:rPr>
                    <w:t>0.3kg/m</w:t>
                  </w:r>
                  <w:r>
                    <w:rPr>
                      <w:color w:val="auto"/>
                      <w:vertAlign w:val="superscript"/>
                    </w:rPr>
                    <w:t>2</w:t>
                  </w:r>
                </w:p>
              </w:tc>
              <w:tc>
                <w:tcPr>
                  <w:tcW w:w="714" w:type="pct"/>
                  <w:tcBorders>
                    <w:bottom w:val="single" w:color="auto" w:sz="4" w:space="0"/>
                  </w:tcBorders>
                  <w:vAlign w:val="center"/>
                </w:tcPr>
                <w:p>
                  <w:pPr>
                    <w:pStyle w:val="236"/>
                    <w:rPr>
                      <w:color w:val="auto"/>
                    </w:rPr>
                  </w:pPr>
                  <w:r>
                    <w:rPr>
                      <w:color w:val="auto"/>
                    </w:rPr>
                    <w:t>0.4kg/m</w:t>
                  </w:r>
                  <w:r>
                    <w:rPr>
                      <w:color w:val="auto"/>
                      <w:vertAlign w:val="superscript"/>
                    </w:rPr>
                    <w:t>2</w:t>
                  </w:r>
                </w:p>
              </w:tc>
              <w:tc>
                <w:tcPr>
                  <w:tcW w:w="714" w:type="pct"/>
                  <w:tcBorders>
                    <w:bottom w:val="single" w:color="auto" w:sz="4" w:space="0"/>
                  </w:tcBorders>
                  <w:vAlign w:val="center"/>
                </w:tcPr>
                <w:p>
                  <w:pPr>
                    <w:pStyle w:val="236"/>
                    <w:rPr>
                      <w:color w:val="auto"/>
                    </w:rPr>
                  </w:pPr>
                  <w:r>
                    <w:rPr>
                      <w:color w:val="auto"/>
                    </w:rPr>
                    <w:t>0.5kg/m</w:t>
                  </w:r>
                  <w:r>
                    <w:rPr>
                      <w:color w:val="auto"/>
                      <w:vertAlign w:val="superscript"/>
                    </w:rPr>
                    <w:t>2</w:t>
                  </w:r>
                </w:p>
              </w:tc>
              <w:tc>
                <w:tcPr>
                  <w:tcW w:w="714" w:type="pct"/>
                  <w:tcBorders>
                    <w:bottom w:val="single" w:color="auto" w:sz="4" w:space="0"/>
                  </w:tcBorders>
                  <w:vAlign w:val="center"/>
                </w:tcPr>
                <w:p>
                  <w:pPr>
                    <w:pStyle w:val="236"/>
                    <w:rPr>
                      <w:color w:val="auto"/>
                    </w:rPr>
                  </w:pPr>
                  <w:r>
                    <w:rPr>
                      <w:color w:val="auto"/>
                    </w:rPr>
                    <w:t>1.0kg/m</w:t>
                  </w:r>
                  <w:r>
                    <w:rPr>
                      <w:color w:val="auto"/>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3" w:type="pct"/>
                  <w:tcBorders>
                    <w:top w:val="single" w:color="auto" w:sz="4" w:space="0"/>
                    <w:bottom w:val="single" w:color="auto" w:sz="4" w:space="0"/>
                  </w:tcBorders>
                </w:tcPr>
                <w:p>
                  <w:pPr>
                    <w:pStyle w:val="236"/>
                    <w:rPr>
                      <w:color w:val="auto"/>
                    </w:rPr>
                  </w:pPr>
                  <w:r>
                    <w:rPr>
                      <w:color w:val="auto"/>
                    </w:rPr>
                    <w:t>5km/h</w:t>
                  </w:r>
                </w:p>
              </w:tc>
              <w:tc>
                <w:tcPr>
                  <w:tcW w:w="714" w:type="pct"/>
                  <w:tcBorders>
                    <w:top w:val="single" w:color="auto" w:sz="4" w:space="0"/>
                    <w:bottom w:val="single" w:color="auto" w:sz="4" w:space="0"/>
                  </w:tcBorders>
                </w:tcPr>
                <w:p>
                  <w:pPr>
                    <w:pStyle w:val="236"/>
                    <w:rPr>
                      <w:color w:val="auto"/>
                    </w:rPr>
                  </w:pPr>
                  <w:r>
                    <w:rPr>
                      <w:color w:val="auto"/>
                    </w:rPr>
                    <w:t>0.0511</w:t>
                  </w:r>
                </w:p>
              </w:tc>
              <w:tc>
                <w:tcPr>
                  <w:tcW w:w="714" w:type="pct"/>
                  <w:tcBorders>
                    <w:top w:val="single" w:color="auto" w:sz="4" w:space="0"/>
                    <w:bottom w:val="single" w:color="auto" w:sz="4" w:space="0"/>
                  </w:tcBorders>
                </w:tcPr>
                <w:p>
                  <w:pPr>
                    <w:pStyle w:val="236"/>
                    <w:rPr>
                      <w:color w:val="auto"/>
                    </w:rPr>
                  </w:pPr>
                  <w:r>
                    <w:rPr>
                      <w:color w:val="auto"/>
                    </w:rPr>
                    <w:t>0.0859</w:t>
                  </w:r>
                </w:p>
              </w:tc>
              <w:tc>
                <w:tcPr>
                  <w:tcW w:w="714" w:type="pct"/>
                  <w:tcBorders>
                    <w:top w:val="single" w:color="auto" w:sz="4" w:space="0"/>
                    <w:bottom w:val="single" w:color="auto" w:sz="4" w:space="0"/>
                  </w:tcBorders>
                </w:tcPr>
                <w:p>
                  <w:pPr>
                    <w:pStyle w:val="236"/>
                    <w:rPr>
                      <w:color w:val="auto"/>
                    </w:rPr>
                  </w:pPr>
                  <w:r>
                    <w:rPr>
                      <w:color w:val="auto"/>
                    </w:rPr>
                    <w:t>0.1164</w:t>
                  </w:r>
                </w:p>
              </w:tc>
              <w:tc>
                <w:tcPr>
                  <w:tcW w:w="714" w:type="pct"/>
                  <w:tcBorders>
                    <w:top w:val="single" w:color="auto" w:sz="4" w:space="0"/>
                    <w:bottom w:val="single" w:color="auto" w:sz="4" w:space="0"/>
                  </w:tcBorders>
                </w:tcPr>
                <w:p>
                  <w:pPr>
                    <w:pStyle w:val="236"/>
                    <w:rPr>
                      <w:color w:val="auto"/>
                    </w:rPr>
                  </w:pPr>
                  <w:r>
                    <w:rPr>
                      <w:color w:val="auto"/>
                    </w:rPr>
                    <w:t>0.1544</w:t>
                  </w:r>
                </w:p>
              </w:tc>
              <w:tc>
                <w:tcPr>
                  <w:tcW w:w="714" w:type="pct"/>
                  <w:tcBorders>
                    <w:top w:val="single" w:color="auto" w:sz="4" w:space="0"/>
                    <w:bottom w:val="single" w:color="auto" w:sz="4" w:space="0"/>
                  </w:tcBorders>
                </w:tcPr>
                <w:p>
                  <w:pPr>
                    <w:pStyle w:val="236"/>
                    <w:rPr>
                      <w:color w:val="auto"/>
                    </w:rPr>
                  </w:pPr>
                  <w:r>
                    <w:rPr>
                      <w:color w:val="auto"/>
                    </w:rPr>
                    <w:t>0.1707</w:t>
                  </w:r>
                </w:p>
              </w:tc>
              <w:tc>
                <w:tcPr>
                  <w:tcW w:w="714" w:type="pct"/>
                  <w:tcBorders>
                    <w:top w:val="single" w:color="auto" w:sz="4" w:space="0"/>
                    <w:bottom w:val="single" w:color="auto" w:sz="4" w:space="0"/>
                  </w:tcBorders>
                </w:tcPr>
                <w:p>
                  <w:pPr>
                    <w:pStyle w:val="236"/>
                    <w:rPr>
                      <w:color w:val="auto"/>
                    </w:rPr>
                  </w:pPr>
                  <w:r>
                    <w:rPr>
                      <w:color w:val="auto"/>
                    </w:rPr>
                    <w:t>0.2871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3" w:type="pct"/>
                  <w:tcBorders>
                    <w:top w:val="single" w:color="auto" w:sz="4" w:space="0"/>
                    <w:bottom w:val="single" w:color="auto" w:sz="4" w:space="0"/>
                  </w:tcBorders>
                </w:tcPr>
                <w:p>
                  <w:pPr>
                    <w:pStyle w:val="236"/>
                    <w:rPr>
                      <w:color w:val="auto"/>
                    </w:rPr>
                  </w:pPr>
                  <w:r>
                    <w:rPr>
                      <w:color w:val="auto"/>
                    </w:rPr>
                    <w:t>10km/h</w:t>
                  </w:r>
                </w:p>
              </w:tc>
              <w:tc>
                <w:tcPr>
                  <w:tcW w:w="714" w:type="pct"/>
                  <w:tcBorders>
                    <w:top w:val="single" w:color="auto" w:sz="4" w:space="0"/>
                    <w:bottom w:val="single" w:color="auto" w:sz="4" w:space="0"/>
                  </w:tcBorders>
                </w:tcPr>
                <w:p>
                  <w:pPr>
                    <w:pStyle w:val="236"/>
                    <w:rPr>
                      <w:color w:val="auto"/>
                    </w:rPr>
                  </w:pPr>
                  <w:r>
                    <w:rPr>
                      <w:color w:val="auto"/>
                    </w:rPr>
                    <w:t>0.1021</w:t>
                  </w:r>
                </w:p>
              </w:tc>
              <w:tc>
                <w:tcPr>
                  <w:tcW w:w="714" w:type="pct"/>
                  <w:tcBorders>
                    <w:top w:val="single" w:color="auto" w:sz="4" w:space="0"/>
                    <w:bottom w:val="single" w:color="auto" w:sz="4" w:space="0"/>
                  </w:tcBorders>
                </w:tcPr>
                <w:p>
                  <w:pPr>
                    <w:pStyle w:val="236"/>
                    <w:rPr>
                      <w:color w:val="auto"/>
                    </w:rPr>
                  </w:pPr>
                  <w:r>
                    <w:rPr>
                      <w:color w:val="auto"/>
                    </w:rPr>
                    <w:t>0.1717</w:t>
                  </w:r>
                </w:p>
              </w:tc>
              <w:tc>
                <w:tcPr>
                  <w:tcW w:w="714" w:type="pct"/>
                  <w:tcBorders>
                    <w:top w:val="single" w:color="auto" w:sz="4" w:space="0"/>
                    <w:bottom w:val="single" w:color="auto" w:sz="4" w:space="0"/>
                  </w:tcBorders>
                </w:tcPr>
                <w:p>
                  <w:pPr>
                    <w:pStyle w:val="236"/>
                    <w:rPr>
                      <w:color w:val="auto"/>
                    </w:rPr>
                  </w:pPr>
                  <w:r>
                    <w:rPr>
                      <w:color w:val="auto"/>
                    </w:rPr>
                    <w:t>0.2328</w:t>
                  </w:r>
                </w:p>
              </w:tc>
              <w:tc>
                <w:tcPr>
                  <w:tcW w:w="714" w:type="pct"/>
                  <w:tcBorders>
                    <w:top w:val="single" w:color="auto" w:sz="4" w:space="0"/>
                    <w:bottom w:val="single" w:color="auto" w:sz="4" w:space="0"/>
                  </w:tcBorders>
                </w:tcPr>
                <w:p>
                  <w:pPr>
                    <w:pStyle w:val="236"/>
                    <w:rPr>
                      <w:color w:val="auto"/>
                    </w:rPr>
                  </w:pPr>
                  <w:r>
                    <w:rPr>
                      <w:color w:val="auto"/>
                    </w:rPr>
                    <w:t>0.2888</w:t>
                  </w:r>
                </w:p>
              </w:tc>
              <w:tc>
                <w:tcPr>
                  <w:tcW w:w="714" w:type="pct"/>
                  <w:tcBorders>
                    <w:top w:val="single" w:color="auto" w:sz="4" w:space="0"/>
                    <w:bottom w:val="single" w:color="auto" w:sz="4" w:space="0"/>
                  </w:tcBorders>
                </w:tcPr>
                <w:p>
                  <w:pPr>
                    <w:pStyle w:val="236"/>
                    <w:rPr>
                      <w:color w:val="auto"/>
                    </w:rPr>
                  </w:pPr>
                  <w:r>
                    <w:rPr>
                      <w:color w:val="auto"/>
                    </w:rPr>
                    <w:t>0.3414</w:t>
                  </w:r>
                </w:p>
              </w:tc>
              <w:tc>
                <w:tcPr>
                  <w:tcW w:w="714" w:type="pct"/>
                  <w:tcBorders>
                    <w:top w:val="single" w:color="auto" w:sz="4" w:space="0"/>
                    <w:bottom w:val="single" w:color="auto" w:sz="4" w:space="0"/>
                  </w:tcBorders>
                </w:tcPr>
                <w:p>
                  <w:pPr>
                    <w:pStyle w:val="236"/>
                    <w:rPr>
                      <w:color w:val="auto"/>
                    </w:rPr>
                  </w:pPr>
                  <w:r>
                    <w:rPr>
                      <w:color w:val="auto"/>
                    </w:rPr>
                    <w:t>0.5742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3" w:type="pct"/>
                  <w:tcBorders>
                    <w:top w:val="single" w:color="auto" w:sz="4" w:space="0"/>
                    <w:bottom w:val="single" w:color="auto" w:sz="4" w:space="0"/>
                  </w:tcBorders>
                </w:tcPr>
                <w:p>
                  <w:pPr>
                    <w:pStyle w:val="236"/>
                    <w:rPr>
                      <w:color w:val="auto"/>
                    </w:rPr>
                  </w:pPr>
                  <w:r>
                    <w:rPr>
                      <w:color w:val="auto"/>
                    </w:rPr>
                    <w:t>15km/h</w:t>
                  </w:r>
                </w:p>
              </w:tc>
              <w:tc>
                <w:tcPr>
                  <w:tcW w:w="714" w:type="pct"/>
                  <w:tcBorders>
                    <w:top w:val="single" w:color="auto" w:sz="4" w:space="0"/>
                    <w:bottom w:val="single" w:color="auto" w:sz="4" w:space="0"/>
                  </w:tcBorders>
                </w:tcPr>
                <w:p>
                  <w:pPr>
                    <w:pStyle w:val="236"/>
                    <w:rPr>
                      <w:color w:val="auto"/>
                    </w:rPr>
                  </w:pPr>
                  <w:r>
                    <w:rPr>
                      <w:color w:val="auto"/>
                    </w:rPr>
                    <w:t>0.1532</w:t>
                  </w:r>
                </w:p>
              </w:tc>
              <w:tc>
                <w:tcPr>
                  <w:tcW w:w="714" w:type="pct"/>
                  <w:tcBorders>
                    <w:top w:val="single" w:color="auto" w:sz="4" w:space="0"/>
                    <w:bottom w:val="single" w:color="auto" w:sz="4" w:space="0"/>
                  </w:tcBorders>
                </w:tcPr>
                <w:p>
                  <w:pPr>
                    <w:pStyle w:val="236"/>
                    <w:rPr>
                      <w:color w:val="auto"/>
                    </w:rPr>
                  </w:pPr>
                  <w:r>
                    <w:rPr>
                      <w:color w:val="auto"/>
                    </w:rPr>
                    <w:t>0.2576</w:t>
                  </w:r>
                </w:p>
              </w:tc>
              <w:tc>
                <w:tcPr>
                  <w:tcW w:w="714" w:type="pct"/>
                  <w:tcBorders>
                    <w:top w:val="single" w:color="auto" w:sz="4" w:space="0"/>
                    <w:bottom w:val="single" w:color="auto" w:sz="4" w:space="0"/>
                  </w:tcBorders>
                </w:tcPr>
                <w:p>
                  <w:pPr>
                    <w:pStyle w:val="236"/>
                    <w:rPr>
                      <w:color w:val="auto"/>
                    </w:rPr>
                  </w:pPr>
                  <w:r>
                    <w:rPr>
                      <w:color w:val="auto"/>
                    </w:rPr>
                    <w:t>0.3491</w:t>
                  </w:r>
                </w:p>
              </w:tc>
              <w:tc>
                <w:tcPr>
                  <w:tcW w:w="714" w:type="pct"/>
                  <w:tcBorders>
                    <w:top w:val="single" w:color="auto" w:sz="4" w:space="0"/>
                    <w:bottom w:val="single" w:color="auto" w:sz="4" w:space="0"/>
                  </w:tcBorders>
                </w:tcPr>
                <w:p>
                  <w:pPr>
                    <w:pStyle w:val="236"/>
                    <w:rPr>
                      <w:color w:val="auto"/>
                    </w:rPr>
                  </w:pPr>
                  <w:r>
                    <w:rPr>
                      <w:color w:val="auto"/>
                    </w:rPr>
                    <w:t>0.4332</w:t>
                  </w:r>
                </w:p>
              </w:tc>
              <w:tc>
                <w:tcPr>
                  <w:tcW w:w="714" w:type="pct"/>
                  <w:tcBorders>
                    <w:top w:val="single" w:color="auto" w:sz="4" w:space="0"/>
                    <w:bottom w:val="single" w:color="auto" w:sz="4" w:space="0"/>
                  </w:tcBorders>
                </w:tcPr>
                <w:p>
                  <w:pPr>
                    <w:pStyle w:val="236"/>
                    <w:rPr>
                      <w:color w:val="auto"/>
                    </w:rPr>
                  </w:pPr>
                  <w:r>
                    <w:rPr>
                      <w:color w:val="auto"/>
                    </w:rPr>
                    <w:t>0.5131</w:t>
                  </w:r>
                </w:p>
              </w:tc>
              <w:tc>
                <w:tcPr>
                  <w:tcW w:w="714" w:type="pct"/>
                  <w:tcBorders>
                    <w:top w:val="single" w:color="auto" w:sz="4" w:space="0"/>
                    <w:bottom w:val="single" w:color="auto" w:sz="4" w:space="0"/>
                  </w:tcBorders>
                </w:tcPr>
                <w:p>
                  <w:pPr>
                    <w:pStyle w:val="236"/>
                    <w:rPr>
                      <w:color w:val="auto"/>
                    </w:rPr>
                  </w:pPr>
                  <w:r>
                    <w:rPr>
                      <w:color w:val="auto"/>
                    </w:rPr>
                    <w:t>0.8623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3" w:type="pct"/>
                  <w:tcBorders>
                    <w:top w:val="single" w:color="auto" w:sz="4" w:space="0"/>
                  </w:tcBorders>
                </w:tcPr>
                <w:p>
                  <w:pPr>
                    <w:pStyle w:val="236"/>
                    <w:rPr>
                      <w:color w:val="auto"/>
                    </w:rPr>
                  </w:pPr>
                  <w:r>
                    <w:rPr>
                      <w:color w:val="auto"/>
                    </w:rPr>
                    <w:t>25km/h</w:t>
                  </w:r>
                </w:p>
              </w:tc>
              <w:tc>
                <w:tcPr>
                  <w:tcW w:w="714" w:type="pct"/>
                  <w:tcBorders>
                    <w:top w:val="single" w:color="auto" w:sz="4" w:space="0"/>
                  </w:tcBorders>
                </w:tcPr>
                <w:p>
                  <w:pPr>
                    <w:pStyle w:val="236"/>
                    <w:rPr>
                      <w:color w:val="auto"/>
                    </w:rPr>
                  </w:pPr>
                  <w:r>
                    <w:rPr>
                      <w:color w:val="auto"/>
                    </w:rPr>
                    <w:t>0.2553</w:t>
                  </w:r>
                </w:p>
              </w:tc>
              <w:tc>
                <w:tcPr>
                  <w:tcW w:w="714" w:type="pct"/>
                  <w:tcBorders>
                    <w:top w:val="single" w:color="auto" w:sz="4" w:space="0"/>
                  </w:tcBorders>
                </w:tcPr>
                <w:p>
                  <w:pPr>
                    <w:pStyle w:val="236"/>
                    <w:rPr>
                      <w:color w:val="auto"/>
                    </w:rPr>
                  </w:pPr>
                  <w:r>
                    <w:rPr>
                      <w:color w:val="auto"/>
                    </w:rPr>
                    <w:t>0.4293</w:t>
                  </w:r>
                </w:p>
              </w:tc>
              <w:tc>
                <w:tcPr>
                  <w:tcW w:w="714" w:type="pct"/>
                  <w:tcBorders>
                    <w:top w:val="single" w:color="auto" w:sz="4" w:space="0"/>
                  </w:tcBorders>
                </w:tcPr>
                <w:p>
                  <w:pPr>
                    <w:pStyle w:val="236"/>
                    <w:rPr>
                      <w:color w:val="auto"/>
                    </w:rPr>
                  </w:pPr>
                  <w:r>
                    <w:rPr>
                      <w:color w:val="auto"/>
                    </w:rPr>
                    <w:t>0.5819</w:t>
                  </w:r>
                </w:p>
              </w:tc>
              <w:tc>
                <w:tcPr>
                  <w:tcW w:w="714" w:type="pct"/>
                  <w:tcBorders>
                    <w:top w:val="single" w:color="auto" w:sz="4" w:space="0"/>
                  </w:tcBorders>
                </w:tcPr>
                <w:p>
                  <w:pPr>
                    <w:pStyle w:val="236"/>
                    <w:rPr>
                      <w:color w:val="auto"/>
                    </w:rPr>
                  </w:pPr>
                  <w:r>
                    <w:rPr>
                      <w:color w:val="auto"/>
                    </w:rPr>
                    <w:t>0.7720</w:t>
                  </w:r>
                </w:p>
              </w:tc>
              <w:tc>
                <w:tcPr>
                  <w:tcW w:w="714" w:type="pct"/>
                  <w:tcBorders>
                    <w:top w:val="single" w:color="auto" w:sz="4" w:space="0"/>
                  </w:tcBorders>
                </w:tcPr>
                <w:p>
                  <w:pPr>
                    <w:pStyle w:val="236"/>
                    <w:rPr>
                      <w:color w:val="auto"/>
                    </w:rPr>
                  </w:pPr>
                  <w:r>
                    <w:rPr>
                      <w:color w:val="auto"/>
                    </w:rPr>
                    <w:t>0.8536</w:t>
                  </w:r>
                </w:p>
              </w:tc>
              <w:tc>
                <w:tcPr>
                  <w:tcW w:w="714" w:type="pct"/>
                  <w:tcBorders>
                    <w:top w:val="single" w:color="auto" w:sz="4" w:space="0"/>
                  </w:tcBorders>
                </w:tcPr>
                <w:p>
                  <w:pPr>
                    <w:pStyle w:val="236"/>
                    <w:rPr>
                      <w:color w:val="auto"/>
                    </w:rPr>
                  </w:pPr>
                  <w:r>
                    <w:rPr>
                      <w:color w:val="auto"/>
                    </w:rPr>
                    <w:t>1.4355</w:t>
                  </w:r>
                </w:p>
              </w:tc>
            </w:tr>
          </w:tbl>
          <w:p>
            <w:pPr>
              <w:spacing w:line="360" w:lineRule="auto"/>
              <w:ind w:firstLine="480" w:firstLineChars="200"/>
              <w:rPr>
                <w:color w:val="auto"/>
                <w:sz w:val="24"/>
              </w:rPr>
            </w:pPr>
            <w:r>
              <w:rPr>
                <w:color w:val="auto"/>
                <w:sz w:val="24"/>
              </w:rPr>
              <w:t>由上表可知，在同样路面清洁程度条件下，车速越快，扬尘量越大；而在同样车速情况下，路面越脏，则扬尘量越大。因此限制车辆行驶速度及保持路面的清洁是减少汽车扬尘的最有效手段。</w:t>
            </w:r>
          </w:p>
          <w:p>
            <w:pPr>
              <w:spacing w:line="360" w:lineRule="auto"/>
              <w:ind w:firstLine="480" w:firstLineChars="200"/>
              <w:rPr>
                <w:color w:val="auto"/>
                <w:sz w:val="24"/>
              </w:rPr>
            </w:pPr>
            <w:r>
              <w:rPr>
                <w:color w:val="auto"/>
                <w:sz w:val="24"/>
              </w:rPr>
              <w:t>②洒水抑尘效果分析</w:t>
            </w:r>
          </w:p>
          <w:p>
            <w:pPr>
              <w:spacing w:line="360" w:lineRule="auto"/>
              <w:ind w:firstLine="480" w:firstLineChars="200"/>
              <w:rPr>
                <w:color w:val="auto"/>
                <w:sz w:val="24"/>
              </w:rPr>
            </w:pPr>
            <w:r>
              <w:rPr>
                <w:color w:val="auto"/>
                <w:sz w:val="24"/>
              </w:rPr>
              <w:t>根据类比调查，如果在施工期间对车辆行驶的路面实施只洒水不清扫，可使扬尘量减少70%~80%，若清扫后每天洒水4~5次，抑尘效率能达90%以上，可将颗粒物污染的距离缩小至20-50m范围内。</w:t>
            </w:r>
          </w:p>
          <w:p>
            <w:pPr>
              <w:spacing w:line="360" w:lineRule="auto"/>
              <w:ind w:firstLine="482" w:firstLineChars="200"/>
              <w:rPr>
                <w:b/>
                <w:bCs/>
                <w:color w:val="auto"/>
                <w:sz w:val="24"/>
              </w:rPr>
            </w:pPr>
            <w:r>
              <w:rPr>
                <w:b/>
                <w:bCs/>
                <w:color w:val="auto"/>
                <w:sz w:val="24"/>
              </w:rPr>
              <w:t>为进一步加大扬尘的污染防治力度，本环评要求建设单位进一步落实以下施工要求 ：</w:t>
            </w:r>
          </w:p>
          <w:p>
            <w:pPr>
              <w:spacing w:line="360" w:lineRule="auto"/>
              <w:ind w:firstLine="480" w:firstLineChars="200"/>
              <w:rPr>
                <w:color w:val="auto"/>
                <w:sz w:val="24"/>
              </w:rPr>
            </w:pPr>
            <w:r>
              <w:rPr>
                <w:color w:val="auto"/>
                <w:sz w:val="24"/>
              </w:rPr>
              <w:t>①风速四级以上易产生扬尘时，暂时停止土方开挖，及其他易产生扬尘的作业。</w:t>
            </w:r>
          </w:p>
          <w:p>
            <w:pPr>
              <w:spacing w:line="360" w:lineRule="auto"/>
              <w:ind w:firstLine="480" w:firstLineChars="200"/>
              <w:rPr>
                <w:color w:val="auto"/>
                <w:sz w:val="24"/>
              </w:rPr>
            </w:pPr>
            <w:r>
              <w:rPr>
                <w:color w:val="auto"/>
                <w:sz w:val="24"/>
              </w:rPr>
              <w:t>②施工期间严禁抛撒建筑垃圾，建筑垃圾应及时清运并在指定的垃圾处置场处置，不能及时清运的，在施工工地设置临时垃圾堆放场地进行保存。</w:t>
            </w:r>
          </w:p>
          <w:p>
            <w:pPr>
              <w:spacing w:line="360" w:lineRule="auto"/>
              <w:ind w:firstLine="480" w:firstLineChars="200"/>
              <w:rPr>
                <w:color w:val="auto"/>
                <w:sz w:val="24"/>
              </w:rPr>
            </w:pPr>
            <w:r>
              <w:rPr>
                <w:color w:val="auto"/>
                <w:sz w:val="24"/>
              </w:rPr>
              <w:t>③施工场地运输车辆驶出工地前使用冲洗设施冲洗轮胎，防止携带泥土驶出施工现场。施工期间严格控制道路扬尘，配备1台洒水车，重点在各工区、施工道路等地，非雨日的早、中、晚来回洒水，减少扬尘。</w:t>
            </w:r>
          </w:p>
          <w:p>
            <w:pPr>
              <w:spacing w:line="360" w:lineRule="auto"/>
              <w:ind w:firstLine="480" w:firstLineChars="200"/>
              <w:rPr>
                <w:color w:val="auto"/>
                <w:sz w:val="24"/>
              </w:rPr>
            </w:pPr>
            <w:r>
              <w:rPr>
                <w:color w:val="auto"/>
                <w:sz w:val="24"/>
              </w:rPr>
              <w:t>④运输沙、石、水泥、土方、垃圾等易产生扬尘物质的车辆，采取封闭运输作业，严禁撒漏。</w:t>
            </w:r>
          </w:p>
          <w:p>
            <w:pPr>
              <w:spacing w:line="360" w:lineRule="auto"/>
              <w:ind w:firstLine="480" w:firstLineChars="200"/>
              <w:rPr>
                <w:color w:val="auto"/>
                <w:sz w:val="24"/>
              </w:rPr>
            </w:pPr>
            <w:r>
              <w:rPr>
                <w:color w:val="auto"/>
                <w:sz w:val="24"/>
              </w:rPr>
              <w:t>同时，施工单位必需严格按照《四川省人民政府办公厅关于加强灰霾污染防治的通知》（川办发〔2013〕32 号）和《四川省灰霾污染防治办法》中的相关要求加强施工场地扬尘的控制，全面督查建筑工地现场管理“六必须”、“六不准”的执行情况，即：必须打围作业、必须硬化道路、必须设置冲洗设施、必须湿法作业、必须配齐保洁人员、必须定时清扫施工现场；不准车辆带泥出门，不准运渣车辆冒顶装载、不准高空抛撒建渣、不准现场搅拌混凝土、不准场地积水、不准现场焚烧废弃物。评价认为，建设单位在采取以上防治措施，加强施工管理，将有效抑制扬尘产生，防止施工扬尘对区域大气环境的影响。</w:t>
            </w:r>
          </w:p>
          <w:p>
            <w:pPr>
              <w:spacing w:line="360" w:lineRule="auto"/>
              <w:ind w:firstLine="482" w:firstLineChars="200"/>
              <w:rPr>
                <w:b/>
                <w:bCs/>
                <w:color w:val="auto"/>
                <w:sz w:val="24"/>
              </w:rPr>
            </w:pPr>
            <w:r>
              <w:rPr>
                <w:b/>
                <w:bCs/>
                <w:color w:val="auto"/>
                <w:sz w:val="24"/>
              </w:rPr>
              <w:t>（2）堆场扬尘</w:t>
            </w:r>
          </w:p>
          <w:p>
            <w:pPr>
              <w:spacing w:line="360" w:lineRule="auto"/>
              <w:ind w:firstLine="480" w:firstLineChars="200"/>
              <w:rPr>
                <w:color w:val="auto"/>
                <w:sz w:val="24"/>
              </w:rPr>
            </w:pPr>
            <w:r>
              <w:rPr>
                <w:color w:val="auto"/>
                <w:sz w:val="24"/>
              </w:rPr>
              <w:t>本项目剥离的表土堆存至</w:t>
            </w:r>
            <w:r>
              <w:rPr>
                <w:rFonts w:hint="eastAsia"/>
                <w:color w:val="auto"/>
                <w:sz w:val="24"/>
                <w:lang w:val="en-US" w:eastAsia="zh-CN"/>
              </w:rPr>
              <w:t>表土</w:t>
            </w:r>
            <w:r>
              <w:rPr>
                <w:color w:val="auto"/>
                <w:sz w:val="24"/>
              </w:rPr>
              <w:t>临时堆料场堆存（位于广K4+200m处），临时堆料场粉尘计算采用清华大学在霍州电厂现场试验的模式计算：</w:t>
            </w:r>
          </w:p>
          <w:p>
            <w:pPr>
              <w:pStyle w:val="69"/>
              <w:ind w:firstLine="480"/>
              <w:jc w:val="center"/>
              <w:rPr>
                <w:color w:val="auto"/>
              </w:rPr>
            </w:pPr>
            <w:r>
              <w:rPr>
                <w:color w:val="auto"/>
                <w:position w:val="-10"/>
              </w:rPr>
              <w:object>
                <v:shape id="_x0000_i1025" o:spt="75" type="#_x0000_t75" style="height:22.4pt;width:151.45pt;" o:ole="t" filled="f" o:preferrelative="t" stroked="f" coordsize="21600,21600">
                  <v:path/>
                  <v:fill on="f" focussize="0,0"/>
                  <v:stroke on="f" joinstyle="miter"/>
                  <v:imagedata r:id="rId29" o:title=""/>
                  <o:lock v:ext="edit" aspectratio="t"/>
                  <w10:wrap type="none"/>
                  <w10:anchorlock/>
                </v:shape>
                <o:OLEObject Type="Embed" ProgID="Equation.DSMT4" ShapeID="_x0000_i1025" DrawAspect="Content" ObjectID="_1468075725" r:id="rId28">
                  <o:LockedField>false</o:LockedField>
                </o:OLEObject>
              </w:object>
            </w:r>
          </w:p>
          <w:p>
            <w:pPr>
              <w:spacing w:line="360" w:lineRule="auto"/>
              <w:ind w:firstLine="480" w:firstLineChars="200"/>
              <w:rPr>
                <w:color w:val="auto"/>
                <w:sz w:val="24"/>
              </w:rPr>
            </w:pPr>
            <w:r>
              <w:rPr>
                <w:color w:val="auto"/>
                <w:sz w:val="24"/>
              </w:rPr>
              <w:t>式中：Q——堆场起尘强度，mg/s；</w:t>
            </w:r>
          </w:p>
          <w:p>
            <w:pPr>
              <w:spacing w:line="360" w:lineRule="auto"/>
              <w:ind w:firstLine="480" w:firstLineChars="200"/>
              <w:rPr>
                <w:color w:val="auto"/>
                <w:sz w:val="24"/>
              </w:rPr>
            </w:pPr>
            <w:r>
              <w:rPr>
                <w:color w:val="auto"/>
                <w:sz w:val="24"/>
              </w:rPr>
              <w:t>U——风速，m/s；</w:t>
            </w:r>
          </w:p>
          <w:p>
            <w:pPr>
              <w:spacing w:line="360" w:lineRule="auto"/>
              <w:ind w:firstLine="480" w:firstLineChars="200"/>
              <w:rPr>
                <w:color w:val="auto"/>
                <w:sz w:val="24"/>
              </w:rPr>
            </w:pPr>
            <w:r>
              <w:rPr>
                <w:color w:val="auto"/>
                <w:sz w:val="24"/>
              </w:rPr>
              <w:t>S——堆场表面积，m</w:t>
            </w:r>
            <w:r>
              <w:rPr>
                <w:color w:val="auto"/>
                <w:sz w:val="24"/>
                <w:vertAlign w:val="superscript"/>
              </w:rPr>
              <w:t>2</w:t>
            </w:r>
            <w:r>
              <w:rPr>
                <w:color w:val="auto"/>
                <w:sz w:val="24"/>
              </w:rPr>
              <w:t>；</w:t>
            </w:r>
          </w:p>
          <w:p>
            <w:pPr>
              <w:spacing w:line="360" w:lineRule="auto"/>
              <w:ind w:firstLine="480" w:firstLineChars="200"/>
              <w:rPr>
                <w:color w:val="auto"/>
                <w:sz w:val="24"/>
              </w:rPr>
            </w:pPr>
            <w:r>
              <w:rPr>
                <w:color w:val="auto"/>
                <w:sz w:val="24"/>
              </w:rPr>
              <w:t>W——原料含水量，%。</w:t>
            </w:r>
          </w:p>
          <w:p>
            <w:pPr>
              <w:spacing w:line="360" w:lineRule="auto"/>
              <w:ind w:firstLine="482" w:firstLineChars="200"/>
              <w:rPr>
                <w:color w:val="auto"/>
                <w:sz w:val="24"/>
              </w:rPr>
            </w:pPr>
            <w:r>
              <w:rPr>
                <w:b/>
                <w:bCs/>
                <w:color w:val="auto"/>
                <w:sz w:val="24"/>
              </w:rPr>
              <w:t>治理措施：</w:t>
            </w:r>
            <w:r>
              <w:rPr>
                <w:color w:val="auto"/>
                <w:sz w:val="24"/>
              </w:rPr>
              <w:t>报告要求在临时堆场四周加围挡安装喷雾降尘装置，喷雾洒水降尘，同时在临时堆场表面覆盖防尘网，在采取措施后，堆场粉尘计算参数及排放情况如下：</w:t>
            </w:r>
          </w:p>
          <w:p>
            <w:pPr>
              <w:widowControl/>
              <w:numPr>
                <w:ilvl w:val="0"/>
                <w:numId w:val="10"/>
              </w:numPr>
              <w:adjustRightInd w:val="0"/>
              <w:snapToGrid w:val="0"/>
              <w:jc w:val="center"/>
              <w:rPr>
                <w:b/>
                <w:bCs/>
                <w:color w:val="auto"/>
                <w:szCs w:val="21"/>
              </w:rPr>
            </w:pPr>
            <w:r>
              <w:rPr>
                <w:b/>
                <w:bCs/>
                <w:color w:val="auto"/>
                <w:szCs w:val="21"/>
              </w:rPr>
              <w:t>临时堆场粉尘计算参数及排放情况表</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1"/>
              <w:gridCol w:w="1395"/>
              <w:gridCol w:w="1029"/>
              <w:gridCol w:w="1097"/>
              <w:gridCol w:w="923"/>
              <w:gridCol w:w="1050"/>
              <w:gridCol w:w="13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 w:hRule="atLeast"/>
                <w:tblHeader/>
                <w:jc w:val="center"/>
              </w:trPr>
              <w:tc>
                <w:tcPr>
                  <w:tcW w:w="788" w:type="pct"/>
                  <w:tcBorders>
                    <w:bottom w:val="single" w:color="auto" w:sz="4" w:space="0"/>
                    <w:right w:val="single" w:color="auto" w:sz="4" w:space="0"/>
                  </w:tcBorders>
                  <w:vAlign w:val="center"/>
                </w:tcPr>
                <w:p>
                  <w:pPr>
                    <w:pStyle w:val="236"/>
                    <w:adjustRightInd w:val="0"/>
                    <w:snapToGrid w:val="0"/>
                    <w:rPr>
                      <w:b/>
                      <w:bCs/>
                      <w:color w:val="auto"/>
                    </w:rPr>
                  </w:pPr>
                  <w:r>
                    <w:rPr>
                      <w:b/>
                      <w:bCs/>
                      <w:color w:val="auto"/>
                    </w:rPr>
                    <w:t>区域</w:t>
                  </w:r>
                </w:p>
              </w:tc>
              <w:tc>
                <w:tcPr>
                  <w:tcW w:w="858" w:type="pct"/>
                  <w:tcBorders>
                    <w:left w:val="single" w:color="auto" w:sz="4" w:space="0"/>
                    <w:bottom w:val="single" w:color="auto" w:sz="4" w:space="0"/>
                    <w:right w:val="single" w:color="auto" w:sz="4" w:space="0"/>
                  </w:tcBorders>
                  <w:vAlign w:val="center"/>
                </w:tcPr>
                <w:p>
                  <w:pPr>
                    <w:pStyle w:val="236"/>
                    <w:adjustRightInd w:val="0"/>
                    <w:snapToGrid w:val="0"/>
                    <w:rPr>
                      <w:b/>
                      <w:bCs/>
                      <w:color w:val="auto"/>
                    </w:rPr>
                  </w:pPr>
                  <w:r>
                    <w:rPr>
                      <w:b/>
                      <w:bCs/>
                      <w:color w:val="auto"/>
                    </w:rPr>
                    <w:t>时间</w:t>
                  </w:r>
                </w:p>
              </w:tc>
              <w:tc>
                <w:tcPr>
                  <w:tcW w:w="633" w:type="pct"/>
                  <w:tcBorders>
                    <w:left w:val="single" w:color="auto" w:sz="4" w:space="0"/>
                    <w:bottom w:val="single" w:color="auto" w:sz="4" w:space="0"/>
                    <w:right w:val="single" w:color="auto" w:sz="4" w:space="0"/>
                  </w:tcBorders>
                  <w:vAlign w:val="center"/>
                </w:tcPr>
                <w:p>
                  <w:pPr>
                    <w:pStyle w:val="236"/>
                    <w:adjustRightInd w:val="0"/>
                    <w:snapToGrid w:val="0"/>
                    <w:rPr>
                      <w:b/>
                      <w:bCs/>
                      <w:color w:val="auto"/>
                    </w:rPr>
                  </w:pPr>
                  <w:r>
                    <w:rPr>
                      <w:b/>
                      <w:bCs/>
                      <w:color w:val="auto"/>
                    </w:rPr>
                    <w:t>U（m/s）</w:t>
                  </w:r>
                </w:p>
              </w:tc>
              <w:tc>
                <w:tcPr>
                  <w:tcW w:w="675" w:type="pct"/>
                  <w:tcBorders>
                    <w:left w:val="single" w:color="auto" w:sz="4" w:space="0"/>
                    <w:bottom w:val="single" w:color="auto" w:sz="4" w:space="0"/>
                    <w:right w:val="single" w:color="auto" w:sz="4" w:space="0"/>
                  </w:tcBorders>
                  <w:vAlign w:val="center"/>
                </w:tcPr>
                <w:p>
                  <w:pPr>
                    <w:pStyle w:val="236"/>
                    <w:adjustRightInd w:val="0"/>
                    <w:snapToGrid w:val="0"/>
                    <w:rPr>
                      <w:b/>
                      <w:bCs/>
                      <w:color w:val="auto"/>
                    </w:rPr>
                  </w:pPr>
                  <w:r>
                    <w:rPr>
                      <w:b/>
                      <w:bCs/>
                      <w:color w:val="auto"/>
                    </w:rPr>
                    <w:t>S（m</w:t>
                  </w:r>
                  <w:r>
                    <w:rPr>
                      <w:b/>
                      <w:bCs/>
                      <w:color w:val="auto"/>
                      <w:vertAlign w:val="superscript"/>
                    </w:rPr>
                    <w:t>2</w:t>
                  </w:r>
                  <w:r>
                    <w:rPr>
                      <w:b/>
                      <w:bCs/>
                      <w:color w:val="auto"/>
                    </w:rPr>
                    <w:t>）</w:t>
                  </w:r>
                </w:p>
              </w:tc>
              <w:tc>
                <w:tcPr>
                  <w:tcW w:w="568" w:type="pct"/>
                  <w:tcBorders>
                    <w:left w:val="single" w:color="auto" w:sz="4" w:space="0"/>
                    <w:bottom w:val="single" w:color="auto" w:sz="4" w:space="0"/>
                    <w:right w:val="single" w:color="auto" w:sz="4" w:space="0"/>
                  </w:tcBorders>
                  <w:vAlign w:val="center"/>
                </w:tcPr>
                <w:p>
                  <w:pPr>
                    <w:pStyle w:val="236"/>
                    <w:adjustRightInd w:val="0"/>
                    <w:snapToGrid w:val="0"/>
                    <w:rPr>
                      <w:b/>
                      <w:bCs/>
                      <w:color w:val="auto"/>
                    </w:rPr>
                  </w:pPr>
                  <w:r>
                    <w:rPr>
                      <w:b/>
                      <w:bCs/>
                      <w:color w:val="auto"/>
                    </w:rPr>
                    <w:t>W（%）</w:t>
                  </w:r>
                </w:p>
              </w:tc>
              <w:tc>
                <w:tcPr>
                  <w:tcW w:w="646" w:type="pct"/>
                  <w:tcBorders>
                    <w:left w:val="single" w:color="auto" w:sz="4" w:space="0"/>
                    <w:bottom w:val="single" w:color="auto" w:sz="4" w:space="0"/>
                    <w:right w:val="single" w:color="auto" w:sz="4" w:space="0"/>
                  </w:tcBorders>
                  <w:vAlign w:val="center"/>
                </w:tcPr>
                <w:p>
                  <w:pPr>
                    <w:pStyle w:val="236"/>
                    <w:adjustRightInd w:val="0"/>
                    <w:snapToGrid w:val="0"/>
                    <w:rPr>
                      <w:b/>
                      <w:bCs/>
                      <w:color w:val="auto"/>
                    </w:rPr>
                  </w:pPr>
                  <w:r>
                    <w:rPr>
                      <w:b/>
                      <w:bCs/>
                      <w:color w:val="auto"/>
                    </w:rPr>
                    <w:t>Q（kg/h）</w:t>
                  </w:r>
                </w:p>
              </w:tc>
              <w:tc>
                <w:tcPr>
                  <w:tcW w:w="830" w:type="pct"/>
                  <w:tcBorders>
                    <w:left w:val="single" w:color="auto" w:sz="4" w:space="0"/>
                    <w:bottom w:val="single" w:color="auto" w:sz="4" w:space="0"/>
                  </w:tcBorders>
                  <w:vAlign w:val="center"/>
                </w:tcPr>
                <w:p>
                  <w:pPr>
                    <w:pStyle w:val="236"/>
                    <w:adjustRightInd w:val="0"/>
                    <w:snapToGrid w:val="0"/>
                    <w:rPr>
                      <w:b/>
                      <w:bCs/>
                      <w:color w:val="auto"/>
                    </w:rPr>
                  </w:pPr>
                  <w:r>
                    <w:rPr>
                      <w:b/>
                      <w:bCs/>
                      <w:color w:val="auto"/>
                    </w:rPr>
                    <w:t>Q（t/a）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 w:hRule="atLeast"/>
                <w:tblHeader/>
                <w:jc w:val="center"/>
              </w:trPr>
              <w:tc>
                <w:tcPr>
                  <w:tcW w:w="788" w:type="pct"/>
                  <w:vMerge w:val="restart"/>
                  <w:tcBorders>
                    <w:top w:val="single" w:color="auto" w:sz="4" w:space="0"/>
                    <w:right w:val="single" w:color="auto" w:sz="4" w:space="0"/>
                  </w:tcBorders>
                  <w:vAlign w:val="center"/>
                </w:tcPr>
                <w:p>
                  <w:pPr>
                    <w:pStyle w:val="236"/>
                    <w:adjustRightInd w:val="0"/>
                    <w:snapToGrid w:val="0"/>
                    <w:rPr>
                      <w:color w:val="auto"/>
                    </w:rPr>
                  </w:pPr>
                  <w:r>
                    <w:rPr>
                      <w:color w:val="auto"/>
                    </w:rPr>
                    <w:t>临时堆场</w:t>
                  </w:r>
                </w:p>
              </w:tc>
              <w:tc>
                <w:tcPr>
                  <w:tcW w:w="858" w:type="pct"/>
                  <w:tcBorders>
                    <w:top w:val="single" w:color="auto" w:sz="4" w:space="0"/>
                    <w:left w:val="single" w:color="auto" w:sz="4" w:space="0"/>
                    <w:bottom w:val="single" w:color="auto" w:sz="4" w:space="0"/>
                    <w:right w:val="single" w:color="auto" w:sz="4" w:space="0"/>
                  </w:tcBorders>
                  <w:vAlign w:val="center"/>
                </w:tcPr>
                <w:p>
                  <w:pPr>
                    <w:pStyle w:val="236"/>
                    <w:adjustRightInd w:val="0"/>
                    <w:snapToGrid w:val="0"/>
                    <w:rPr>
                      <w:color w:val="auto"/>
                    </w:rPr>
                  </w:pPr>
                  <w:r>
                    <w:rPr>
                      <w:color w:val="auto"/>
                    </w:rPr>
                    <w:t>采取措施前</w:t>
                  </w:r>
                </w:p>
              </w:tc>
              <w:tc>
                <w:tcPr>
                  <w:tcW w:w="633" w:type="pct"/>
                  <w:tcBorders>
                    <w:top w:val="single" w:color="auto" w:sz="4" w:space="0"/>
                    <w:left w:val="single" w:color="auto" w:sz="4" w:space="0"/>
                    <w:bottom w:val="single" w:color="auto" w:sz="4" w:space="0"/>
                    <w:right w:val="single" w:color="auto" w:sz="4" w:space="0"/>
                  </w:tcBorders>
                  <w:vAlign w:val="center"/>
                </w:tcPr>
                <w:p>
                  <w:pPr>
                    <w:pStyle w:val="236"/>
                    <w:adjustRightInd w:val="0"/>
                    <w:snapToGrid w:val="0"/>
                    <w:rPr>
                      <w:color w:val="auto"/>
                    </w:rPr>
                  </w:pPr>
                  <w:r>
                    <w:rPr>
                      <w:color w:val="auto"/>
                    </w:rPr>
                    <w:t>1.7</w:t>
                  </w:r>
                </w:p>
              </w:tc>
              <w:tc>
                <w:tcPr>
                  <w:tcW w:w="675" w:type="pct"/>
                  <w:tcBorders>
                    <w:top w:val="single" w:color="auto" w:sz="4" w:space="0"/>
                    <w:left w:val="single" w:color="auto" w:sz="4" w:space="0"/>
                    <w:bottom w:val="single" w:color="auto" w:sz="4" w:space="0"/>
                    <w:right w:val="single" w:color="auto" w:sz="4" w:space="0"/>
                  </w:tcBorders>
                  <w:vAlign w:val="center"/>
                </w:tcPr>
                <w:p>
                  <w:pPr>
                    <w:pStyle w:val="236"/>
                    <w:adjustRightInd w:val="0"/>
                    <w:snapToGrid w:val="0"/>
                    <w:rPr>
                      <w:color w:val="auto"/>
                      <w:lang w:val="en-US"/>
                    </w:rPr>
                  </w:pPr>
                  <w:r>
                    <w:rPr>
                      <w:color w:val="auto"/>
                      <w:lang w:val="en-US"/>
                    </w:rPr>
                    <w:t>6380</w:t>
                  </w:r>
                </w:p>
              </w:tc>
              <w:tc>
                <w:tcPr>
                  <w:tcW w:w="568" w:type="pct"/>
                  <w:tcBorders>
                    <w:top w:val="single" w:color="auto" w:sz="4" w:space="0"/>
                    <w:left w:val="single" w:color="auto" w:sz="4" w:space="0"/>
                    <w:bottom w:val="single" w:color="auto" w:sz="4" w:space="0"/>
                    <w:right w:val="single" w:color="auto" w:sz="4" w:space="0"/>
                  </w:tcBorders>
                  <w:vAlign w:val="center"/>
                </w:tcPr>
                <w:p>
                  <w:pPr>
                    <w:pStyle w:val="236"/>
                    <w:adjustRightInd w:val="0"/>
                    <w:snapToGrid w:val="0"/>
                    <w:rPr>
                      <w:color w:val="auto"/>
                    </w:rPr>
                  </w:pPr>
                  <w:r>
                    <w:rPr>
                      <w:color w:val="auto"/>
                    </w:rPr>
                    <w:t>3</w:t>
                  </w:r>
                </w:p>
              </w:tc>
              <w:tc>
                <w:tcPr>
                  <w:tcW w:w="646" w:type="pct"/>
                  <w:tcBorders>
                    <w:top w:val="single" w:color="auto" w:sz="4" w:space="0"/>
                    <w:left w:val="single" w:color="auto" w:sz="4" w:space="0"/>
                    <w:bottom w:val="single" w:color="auto" w:sz="4" w:space="0"/>
                    <w:right w:val="single" w:color="auto" w:sz="4" w:space="0"/>
                  </w:tcBorders>
                  <w:vAlign w:val="center"/>
                </w:tcPr>
                <w:p>
                  <w:pPr>
                    <w:pStyle w:val="236"/>
                    <w:adjustRightInd w:val="0"/>
                    <w:snapToGrid w:val="0"/>
                    <w:rPr>
                      <w:color w:val="auto"/>
                      <w:lang w:val="en-US"/>
                    </w:rPr>
                  </w:pPr>
                  <w:r>
                    <w:rPr>
                      <w:color w:val="auto"/>
                      <w:lang w:val="en-US"/>
                    </w:rPr>
                    <w:t>0.58</w:t>
                  </w:r>
                </w:p>
              </w:tc>
              <w:tc>
                <w:tcPr>
                  <w:tcW w:w="830" w:type="pct"/>
                  <w:tcBorders>
                    <w:top w:val="single" w:color="auto" w:sz="4" w:space="0"/>
                    <w:left w:val="single" w:color="auto" w:sz="4" w:space="0"/>
                    <w:bottom w:val="single" w:color="auto" w:sz="4" w:space="0"/>
                  </w:tcBorders>
                  <w:vAlign w:val="center"/>
                </w:tcPr>
                <w:p>
                  <w:pPr>
                    <w:pStyle w:val="236"/>
                    <w:adjustRightInd w:val="0"/>
                    <w:snapToGrid w:val="0"/>
                    <w:rPr>
                      <w:color w:val="auto"/>
                      <w:lang w:val="en-US"/>
                    </w:rPr>
                  </w:pPr>
                  <w:r>
                    <w:rPr>
                      <w:color w:val="auto"/>
                      <w:lang w:val="en-US"/>
                    </w:rPr>
                    <w:t>5.08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 w:hRule="atLeast"/>
                <w:tblHeader/>
                <w:jc w:val="center"/>
              </w:trPr>
              <w:tc>
                <w:tcPr>
                  <w:tcW w:w="788" w:type="pct"/>
                  <w:vMerge w:val="continue"/>
                  <w:tcBorders>
                    <w:right w:val="single" w:color="auto" w:sz="4" w:space="0"/>
                  </w:tcBorders>
                  <w:vAlign w:val="center"/>
                </w:tcPr>
                <w:p>
                  <w:pPr>
                    <w:pStyle w:val="236"/>
                    <w:adjustRightInd w:val="0"/>
                    <w:snapToGrid w:val="0"/>
                    <w:rPr>
                      <w:color w:val="auto"/>
                    </w:rPr>
                  </w:pPr>
                </w:p>
              </w:tc>
              <w:tc>
                <w:tcPr>
                  <w:tcW w:w="858" w:type="pct"/>
                  <w:tcBorders>
                    <w:top w:val="single" w:color="auto" w:sz="4" w:space="0"/>
                    <w:left w:val="single" w:color="auto" w:sz="4" w:space="0"/>
                    <w:right w:val="single" w:color="auto" w:sz="4" w:space="0"/>
                  </w:tcBorders>
                  <w:vAlign w:val="center"/>
                </w:tcPr>
                <w:p>
                  <w:pPr>
                    <w:pStyle w:val="236"/>
                    <w:adjustRightInd w:val="0"/>
                    <w:snapToGrid w:val="0"/>
                    <w:rPr>
                      <w:color w:val="auto"/>
                    </w:rPr>
                  </w:pPr>
                  <w:r>
                    <w:rPr>
                      <w:color w:val="auto"/>
                    </w:rPr>
                    <w:t>采取措施后</w:t>
                  </w:r>
                </w:p>
              </w:tc>
              <w:tc>
                <w:tcPr>
                  <w:tcW w:w="633" w:type="pct"/>
                  <w:tcBorders>
                    <w:top w:val="single" w:color="auto" w:sz="4" w:space="0"/>
                    <w:left w:val="single" w:color="auto" w:sz="4" w:space="0"/>
                    <w:right w:val="single" w:color="auto" w:sz="4" w:space="0"/>
                  </w:tcBorders>
                  <w:vAlign w:val="center"/>
                </w:tcPr>
                <w:p>
                  <w:pPr>
                    <w:pStyle w:val="236"/>
                    <w:adjustRightInd w:val="0"/>
                    <w:snapToGrid w:val="0"/>
                    <w:rPr>
                      <w:color w:val="auto"/>
                    </w:rPr>
                  </w:pPr>
                  <w:r>
                    <w:rPr>
                      <w:color w:val="auto"/>
                    </w:rPr>
                    <w:t>1.7</w:t>
                  </w:r>
                </w:p>
              </w:tc>
              <w:tc>
                <w:tcPr>
                  <w:tcW w:w="675" w:type="pct"/>
                  <w:tcBorders>
                    <w:top w:val="single" w:color="auto" w:sz="4" w:space="0"/>
                    <w:left w:val="single" w:color="auto" w:sz="4" w:space="0"/>
                    <w:right w:val="single" w:color="auto" w:sz="4" w:space="0"/>
                  </w:tcBorders>
                  <w:vAlign w:val="center"/>
                </w:tcPr>
                <w:p>
                  <w:pPr>
                    <w:pStyle w:val="236"/>
                    <w:adjustRightInd w:val="0"/>
                    <w:snapToGrid w:val="0"/>
                    <w:rPr>
                      <w:color w:val="auto"/>
                      <w:lang w:val="en-US"/>
                    </w:rPr>
                  </w:pPr>
                  <w:r>
                    <w:rPr>
                      <w:color w:val="auto"/>
                      <w:lang w:val="en-US"/>
                    </w:rPr>
                    <w:t>6380</w:t>
                  </w:r>
                </w:p>
              </w:tc>
              <w:tc>
                <w:tcPr>
                  <w:tcW w:w="568" w:type="pct"/>
                  <w:tcBorders>
                    <w:top w:val="single" w:color="auto" w:sz="4" w:space="0"/>
                    <w:left w:val="single" w:color="auto" w:sz="4" w:space="0"/>
                    <w:right w:val="single" w:color="auto" w:sz="4" w:space="0"/>
                  </w:tcBorders>
                  <w:vAlign w:val="center"/>
                </w:tcPr>
                <w:p>
                  <w:pPr>
                    <w:pStyle w:val="236"/>
                    <w:adjustRightInd w:val="0"/>
                    <w:snapToGrid w:val="0"/>
                    <w:rPr>
                      <w:color w:val="auto"/>
                    </w:rPr>
                  </w:pPr>
                  <w:r>
                    <w:rPr>
                      <w:color w:val="auto"/>
                    </w:rPr>
                    <w:t>7</w:t>
                  </w:r>
                </w:p>
              </w:tc>
              <w:tc>
                <w:tcPr>
                  <w:tcW w:w="646" w:type="pct"/>
                  <w:tcBorders>
                    <w:top w:val="single" w:color="auto" w:sz="4" w:space="0"/>
                    <w:left w:val="single" w:color="auto" w:sz="4" w:space="0"/>
                    <w:right w:val="single" w:color="auto" w:sz="4" w:space="0"/>
                  </w:tcBorders>
                  <w:vAlign w:val="center"/>
                </w:tcPr>
                <w:p>
                  <w:pPr>
                    <w:pStyle w:val="236"/>
                    <w:adjustRightInd w:val="0"/>
                    <w:snapToGrid w:val="0"/>
                    <w:rPr>
                      <w:color w:val="auto"/>
                      <w:lang w:val="en-US"/>
                    </w:rPr>
                  </w:pPr>
                  <w:r>
                    <w:rPr>
                      <w:color w:val="auto"/>
                    </w:rPr>
                    <w:t>0.</w:t>
                  </w:r>
                  <w:r>
                    <w:rPr>
                      <w:color w:val="auto"/>
                      <w:lang w:val="en-US"/>
                    </w:rPr>
                    <w:t>13</w:t>
                  </w:r>
                </w:p>
              </w:tc>
              <w:tc>
                <w:tcPr>
                  <w:tcW w:w="830" w:type="pct"/>
                  <w:tcBorders>
                    <w:top w:val="single" w:color="auto" w:sz="4" w:space="0"/>
                    <w:left w:val="single" w:color="auto" w:sz="4" w:space="0"/>
                  </w:tcBorders>
                  <w:vAlign w:val="center"/>
                </w:tcPr>
                <w:p>
                  <w:pPr>
                    <w:pStyle w:val="236"/>
                    <w:adjustRightInd w:val="0"/>
                    <w:snapToGrid w:val="0"/>
                    <w:rPr>
                      <w:color w:val="auto"/>
                      <w:lang w:val="en-US"/>
                    </w:rPr>
                  </w:pPr>
                  <w:r>
                    <w:rPr>
                      <w:color w:val="auto"/>
                      <w:lang w:val="en-US"/>
                    </w:rPr>
                    <w:t>1.14</w:t>
                  </w:r>
                </w:p>
              </w:tc>
            </w:tr>
          </w:tbl>
          <w:p>
            <w:pPr>
              <w:spacing w:line="360" w:lineRule="auto"/>
              <w:ind w:firstLine="480" w:firstLineChars="200"/>
              <w:rPr>
                <w:color w:val="auto"/>
                <w:sz w:val="24"/>
              </w:rPr>
            </w:pPr>
            <w:r>
              <w:rPr>
                <w:color w:val="auto"/>
                <w:sz w:val="24"/>
              </w:rPr>
              <w:t>备注：开挖、回填施工4个月，每个月工作时间25d折算</w:t>
            </w:r>
          </w:p>
          <w:p>
            <w:pPr>
              <w:spacing w:line="360" w:lineRule="auto"/>
              <w:ind w:firstLine="480" w:firstLineChars="200"/>
              <w:rPr>
                <w:color w:val="auto"/>
                <w:sz w:val="24"/>
              </w:rPr>
            </w:pPr>
            <w:r>
              <w:rPr>
                <w:color w:val="auto"/>
                <w:sz w:val="24"/>
              </w:rPr>
              <w:t>类比同类项目，采取措施后，在临时堆场200m范围外，TSP浓度能达到《四川省施工场地扬尘排放标准》（DB512682 -2020）表1中广元市 “其他工程”限值要求。</w:t>
            </w:r>
          </w:p>
          <w:p>
            <w:pPr>
              <w:spacing w:line="360" w:lineRule="auto"/>
              <w:ind w:firstLine="482" w:firstLineChars="200"/>
              <w:rPr>
                <w:b/>
                <w:bCs/>
                <w:color w:val="auto"/>
                <w:sz w:val="24"/>
              </w:rPr>
            </w:pPr>
            <w:r>
              <w:rPr>
                <w:b/>
                <w:bCs/>
                <w:color w:val="auto"/>
                <w:sz w:val="24"/>
              </w:rPr>
              <w:t>2、燃油废气对大气环境影响分析</w:t>
            </w:r>
          </w:p>
          <w:p>
            <w:pPr>
              <w:spacing w:line="360" w:lineRule="auto"/>
              <w:ind w:firstLine="480" w:firstLineChars="200"/>
              <w:rPr>
                <w:color w:val="auto"/>
                <w:sz w:val="24"/>
              </w:rPr>
            </w:pPr>
            <w:r>
              <w:rPr>
                <w:color w:val="auto"/>
                <w:sz w:val="24"/>
              </w:rPr>
              <w:t>施工期间，燃油废气主要含有为CO、NOx以及未完全燃烧的THC等。通过使用清洁能源、加强设备检修、加强车辆管理等措施后，可有效降低项目燃油废气的产生，同时由于燃油废气均属间断性无组织排放，特点是排放量小，加之施工工场开阔，扩散条件良好，对其不加处理也可达到相应的排放标准。</w:t>
            </w:r>
          </w:p>
          <w:p>
            <w:pPr>
              <w:spacing w:line="360" w:lineRule="auto"/>
              <w:ind w:firstLine="482" w:firstLineChars="200"/>
              <w:rPr>
                <w:rFonts w:hint="default" w:eastAsia="宋体"/>
                <w:b/>
                <w:bCs/>
                <w:color w:val="auto"/>
                <w:sz w:val="24"/>
                <w:lang w:val="en-US" w:eastAsia="zh-CN"/>
              </w:rPr>
            </w:pPr>
            <w:r>
              <w:rPr>
                <w:rFonts w:hint="eastAsia"/>
                <w:b/>
                <w:bCs/>
                <w:color w:val="auto"/>
                <w:sz w:val="24"/>
                <w:lang w:val="en-US" w:eastAsia="zh-CN"/>
              </w:rPr>
              <w:t>3、淤料晾晒废气对大气环境影响分析</w:t>
            </w:r>
          </w:p>
          <w:p>
            <w:pPr>
              <w:spacing w:line="360" w:lineRule="auto"/>
              <w:ind w:firstLine="480" w:firstLineChars="200"/>
              <w:rPr>
                <w:rFonts w:hint="default" w:eastAsia="宋体"/>
                <w:b w:val="0"/>
                <w:bCs w:val="0"/>
                <w:color w:val="auto"/>
                <w:sz w:val="24"/>
                <w:lang w:val="en-US" w:eastAsia="zh-CN"/>
              </w:rPr>
            </w:pPr>
            <w:r>
              <w:rPr>
                <w:rFonts w:hint="eastAsia"/>
                <w:b w:val="0"/>
                <w:bCs w:val="0"/>
                <w:color w:val="auto"/>
                <w:sz w:val="24"/>
                <w:lang w:val="en-US" w:eastAsia="zh-CN"/>
              </w:rPr>
              <w:t>本项目清淤疏浚工程会产生大量淤料，由于淤料数量较大，项目施工过程中采用晾晒方式对淤泥进行脱水，开挖的清淤料主要为砂砾石，晾晒过程中无异味产生，与项目临时堆场最近敏感目标为临时堆场西南约170m的村民，本项目清淤工程已结束，淤料晾晒过程中未受到周边群众投诉。</w:t>
            </w:r>
          </w:p>
          <w:p>
            <w:pPr>
              <w:spacing w:line="360" w:lineRule="auto"/>
              <w:ind w:firstLine="482" w:firstLineChars="200"/>
              <w:rPr>
                <w:rFonts w:hint="default" w:eastAsia="宋体"/>
                <w:b/>
                <w:bCs/>
                <w:color w:val="auto"/>
                <w:sz w:val="24"/>
                <w:lang w:val="en-US" w:eastAsia="zh-CN"/>
              </w:rPr>
            </w:pPr>
            <w:r>
              <w:rPr>
                <w:rFonts w:hint="eastAsia"/>
                <w:b/>
                <w:bCs/>
                <w:color w:val="auto"/>
                <w:sz w:val="24"/>
                <w:lang w:val="en-US" w:eastAsia="zh-CN"/>
              </w:rPr>
              <w:t>4、施工期大气环境影响小结</w:t>
            </w:r>
          </w:p>
          <w:p>
            <w:pPr>
              <w:spacing w:line="360" w:lineRule="auto"/>
              <w:ind w:firstLine="480" w:firstLineChars="200"/>
              <w:rPr>
                <w:rFonts w:hint="eastAsia"/>
                <w:b w:val="0"/>
                <w:bCs w:val="0"/>
                <w:color w:val="auto"/>
                <w:sz w:val="24"/>
                <w:lang w:val="en-US" w:eastAsia="zh-CN"/>
              </w:rPr>
            </w:pPr>
            <w:r>
              <w:rPr>
                <w:b w:val="0"/>
                <w:bCs w:val="0"/>
                <w:color w:val="auto"/>
                <w:sz w:val="24"/>
              </w:rPr>
              <w:t>综上可知，项目采取的设置施工围挡、定期对施工场地进行清扫洒水、清洗车辆、土石方车辆密闭或遮盖、临时堆场加盖防尘布或防尘网、及时对临时工程进行植被恢复等抑尘措施，有效控制</w:t>
            </w:r>
            <w:r>
              <w:rPr>
                <w:rFonts w:hint="eastAsia"/>
                <w:b w:val="0"/>
                <w:bCs w:val="0"/>
                <w:color w:val="auto"/>
                <w:sz w:val="24"/>
                <w:lang w:eastAsia="zh-CN"/>
              </w:rPr>
              <w:t>了</w:t>
            </w:r>
            <w:r>
              <w:rPr>
                <w:b w:val="0"/>
                <w:bCs w:val="0"/>
                <w:color w:val="auto"/>
                <w:sz w:val="24"/>
              </w:rPr>
              <w:t>项目施工扬尘对周边环境的影响</w:t>
            </w:r>
            <w:r>
              <w:rPr>
                <w:rFonts w:hint="eastAsia"/>
                <w:b w:val="0"/>
                <w:bCs w:val="0"/>
                <w:color w:val="auto"/>
                <w:sz w:val="24"/>
                <w:lang w:eastAsia="zh-CN"/>
              </w:rPr>
              <w:t>；</w:t>
            </w:r>
            <w:r>
              <w:rPr>
                <w:rFonts w:hint="eastAsia"/>
                <w:b w:val="0"/>
                <w:bCs w:val="0"/>
                <w:color w:val="auto"/>
                <w:sz w:val="24"/>
                <w:lang w:val="en-US" w:eastAsia="zh-CN"/>
              </w:rPr>
              <w:t>通过使用清洁能源、加强设备检修、加强车辆管理等措施后，机械燃油废气得到了有效控制。</w:t>
            </w:r>
          </w:p>
          <w:p>
            <w:pPr>
              <w:spacing w:line="360" w:lineRule="auto"/>
              <w:ind w:firstLine="482" w:firstLineChars="200"/>
              <w:rPr>
                <w:b/>
                <w:bCs/>
                <w:color w:val="auto"/>
                <w:sz w:val="24"/>
              </w:rPr>
            </w:pPr>
            <w:r>
              <w:rPr>
                <w:rFonts w:hint="eastAsia"/>
                <w:b/>
                <w:bCs/>
                <w:color w:val="auto"/>
                <w:sz w:val="24"/>
                <w:lang w:val="en-US" w:eastAsia="zh-CN"/>
              </w:rPr>
              <w:t>本项目施工期已基本结束，施工单位采取了相应环保措施，未</w:t>
            </w:r>
            <w:r>
              <w:rPr>
                <w:b/>
                <w:bCs/>
                <w:color w:val="auto"/>
                <w:sz w:val="24"/>
              </w:rPr>
              <w:t>造成项目所在地环境空气质量恶化</w:t>
            </w:r>
            <w:r>
              <w:rPr>
                <w:rFonts w:hint="eastAsia"/>
                <w:b/>
                <w:bCs/>
                <w:color w:val="auto"/>
                <w:sz w:val="24"/>
                <w:lang w:eastAsia="zh-CN"/>
              </w:rPr>
              <w:t>。</w:t>
            </w:r>
            <w:r>
              <w:rPr>
                <w:rFonts w:hint="eastAsia"/>
                <w:b/>
                <w:bCs/>
                <w:color w:val="auto"/>
                <w:sz w:val="24"/>
                <w:lang w:val="en-US" w:eastAsia="zh-CN"/>
              </w:rPr>
              <w:t>剩余工程主要为堤防植草护坡等，基本不会对周边大气环境造成影响</w:t>
            </w:r>
            <w:r>
              <w:rPr>
                <w:b/>
                <w:bCs/>
                <w:color w:val="auto"/>
                <w:sz w:val="24"/>
              </w:rPr>
              <w:t>。</w:t>
            </w:r>
          </w:p>
          <w:p>
            <w:pPr>
              <w:adjustRightInd w:val="0"/>
              <w:snapToGrid w:val="0"/>
              <w:spacing w:line="360" w:lineRule="auto"/>
              <w:rPr>
                <w:b/>
                <w:color w:val="auto"/>
                <w:spacing w:val="-10"/>
                <w:sz w:val="24"/>
              </w:rPr>
            </w:pPr>
            <w:r>
              <w:rPr>
                <w:b/>
                <w:color w:val="auto"/>
                <w:spacing w:val="-10"/>
                <w:sz w:val="24"/>
              </w:rPr>
              <w:t>三、施工期对水环境影响分析</w:t>
            </w:r>
          </w:p>
          <w:p>
            <w:pPr>
              <w:spacing w:line="360" w:lineRule="auto"/>
              <w:ind w:firstLine="480" w:firstLineChars="200"/>
              <w:rPr>
                <w:color w:val="auto"/>
                <w:sz w:val="24"/>
              </w:rPr>
            </w:pPr>
            <w:r>
              <w:rPr>
                <w:color w:val="auto"/>
                <w:sz w:val="24"/>
              </w:rPr>
              <w:t>本项目不设置机修点，主要利用项目周边场镇上已有的机修点进行维修，无机修废水产生。施工期废水主要为施工人员生活污水以及施工废水，施工废水主要为围堰及堤基基坑排水，机械设备冲洗废水。同时，施工过程还会对区域水文情势造成一定的影响。</w:t>
            </w:r>
          </w:p>
          <w:p>
            <w:pPr>
              <w:spacing w:line="360" w:lineRule="auto"/>
              <w:ind w:firstLine="482" w:firstLineChars="200"/>
              <w:rPr>
                <w:b/>
                <w:bCs/>
                <w:color w:val="auto"/>
                <w:sz w:val="24"/>
              </w:rPr>
            </w:pPr>
            <w:r>
              <w:rPr>
                <w:b/>
                <w:bCs/>
                <w:color w:val="auto"/>
                <w:sz w:val="24"/>
              </w:rPr>
              <w:t>1、施工期生活污水影响分析</w:t>
            </w:r>
          </w:p>
          <w:p>
            <w:pPr>
              <w:spacing w:line="360" w:lineRule="auto"/>
              <w:ind w:firstLine="482" w:firstLineChars="200"/>
              <w:rPr>
                <w:color w:val="auto"/>
                <w:sz w:val="24"/>
              </w:rPr>
            </w:pPr>
            <w:r>
              <w:rPr>
                <w:b/>
                <w:bCs/>
                <w:color w:val="auto"/>
                <w:sz w:val="24"/>
              </w:rPr>
              <w:t>产生源强：</w:t>
            </w:r>
            <w:r>
              <w:rPr>
                <w:color w:val="auto"/>
                <w:sz w:val="24"/>
              </w:rPr>
              <w:t>本项目施工高峰期施工人员60人，用水定额每人生活用水量为0.1m</w:t>
            </w:r>
            <w:r>
              <w:rPr>
                <w:color w:val="auto"/>
                <w:sz w:val="24"/>
                <w:vertAlign w:val="superscript"/>
              </w:rPr>
              <w:t>3</w:t>
            </w:r>
            <w:r>
              <w:rPr>
                <w:color w:val="auto"/>
                <w:sz w:val="24"/>
              </w:rPr>
              <w:t>/d。排污系数取0.8，则产生的生活污水量为4.8m</w:t>
            </w:r>
            <w:r>
              <w:rPr>
                <w:color w:val="auto"/>
                <w:sz w:val="24"/>
                <w:vertAlign w:val="superscript"/>
              </w:rPr>
              <w:t>3</w:t>
            </w:r>
            <w:r>
              <w:rPr>
                <w:color w:val="auto"/>
                <w:sz w:val="24"/>
              </w:rPr>
              <w:t>/d。主要污染物为COD、BOD</w:t>
            </w:r>
            <w:r>
              <w:rPr>
                <w:color w:val="auto"/>
                <w:sz w:val="24"/>
                <w:vertAlign w:val="subscript"/>
              </w:rPr>
              <w:t>5</w:t>
            </w:r>
            <w:r>
              <w:rPr>
                <w:color w:val="auto"/>
                <w:sz w:val="24"/>
              </w:rPr>
              <w:t>、NH</w:t>
            </w:r>
            <w:r>
              <w:rPr>
                <w:color w:val="auto"/>
                <w:sz w:val="24"/>
                <w:vertAlign w:val="subscript"/>
              </w:rPr>
              <w:t>3</w:t>
            </w:r>
            <w:r>
              <w:rPr>
                <w:color w:val="auto"/>
                <w:sz w:val="24"/>
              </w:rPr>
              <w:t>-N等。</w:t>
            </w:r>
          </w:p>
          <w:p>
            <w:pPr>
              <w:spacing w:line="360" w:lineRule="auto"/>
              <w:ind w:firstLine="482" w:firstLineChars="200"/>
              <w:rPr>
                <w:color w:val="auto"/>
                <w:sz w:val="24"/>
              </w:rPr>
            </w:pPr>
            <w:r>
              <w:rPr>
                <w:b/>
                <w:bCs/>
                <w:color w:val="auto"/>
                <w:sz w:val="24"/>
              </w:rPr>
              <w:t>治理措施及达标性：</w:t>
            </w:r>
            <w:r>
              <w:rPr>
                <w:color w:val="auto"/>
                <w:sz w:val="24"/>
              </w:rPr>
              <w:t>本项目不单独设置集中施工营地，施工期产生的生活污水依托租用居民房屋已建化粪池处理后用于周边农田及林地施肥，不外排，施工期生活污水对区域地表水体影响较小。</w:t>
            </w:r>
          </w:p>
          <w:p>
            <w:pPr>
              <w:spacing w:line="360" w:lineRule="auto"/>
              <w:ind w:firstLine="482" w:firstLineChars="200"/>
              <w:rPr>
                <w:b/>
                <w:bCs/>
                <w:color w:val="auto"/>
                <w:sz w:val="24"/>
              </w:rPr>
            </w:pPr>
            <w:r>
              <w:rPr>
                <w:b/>
                <w:bCs/>
                <w:color w:val="auto"/>
                <w:sz w:val="24"/>
              </w:rPr>
              <w:t>2、施工废水影响分析</w:t>
            </w:r>
          </w:p>
          <w:p>
            <w:pPr>
              <w:adjustRightInd w:val="0"/>
              <w:snapToGrid w:val="0"/>
              <w:spacing w:line="360" w:lineRule="auto"/>
              <w:ind w:firstLine="480" w:firstLineChars="200"/>
              <w:rPr>
                <w:color w:val="auto"/>
                <w:sz w:val="24"/>
              </w:rPr>
            </w:pPr>
            <w:r>
              <w:rPr>
                <w:color w:val="auto"/>
                <w:sz w:val="24"/>
              </w:rPr>
              <w:t>施工废水主要为</w:t>
            </w:r>
            <w:r>
              <w:rPr>
                <w:snapToGrid w:val="0"/>
                <w:color w:val="auto"/>
                <w:sz w:val="24"/>
              </w:rPr>
              <w:t>基坑排水，机械设备冲洗废水和淤料脱水废水。</w:t>
            </w:r>
          </w:p>
          <w:p>
            <w:pPr>
              <w:adjustRightInd w:val="0"/>
              <w:snapToGrid w:val="0"/>
              <w:spacing w:line="360" w:lineRule="auto"/>
              <w:ind w:firstLine="482" w:firstLineChars="200"/>
              <w:rPr>
                <w:b/>
                <w:bCs/>
                <w:color w:val="auto"/>
                <w:sz w:val="24"/>
              </w:rPr>
            </w:pPr>
            <w:r>
              <w:rPr>
                <w:b/>
                <w:bCs/>
                <w:color w:val="auto"/>
                <w:sz w:val="24"/>
              </w:rPr>
              <w:t>（1）初期基坑排水影响分析</w:t>
            </w:r>
          </w:p>
          <w:p>
            <w:pPr>
              <w:adjustRightInd w:val="0"/>
              <w:snapToGrid w:val="0"/>
              <w:spacing w:line="360" w:lineRule="auto"/>
              <w:ind w:firstLine="480" w:firstLineChars="200"/>
              <w:rPr>
                <w:color w:val="auto"/>
                <w:sz w:val="24"/>
              </w:rPr>
            </w:pPr>
            <w:r>
              <w:rPr>
                <w:color w:val="auto"/>
                <w:sz w:val="24"/>
              </w:rPr>
              <w:t>本项目1段堤防及5段堤防部分区域需填筑土石围堰，大部分堤段处于河漫滩上，地面高程远高于施工枯水期洪水位，利用基坑开挖形成临时围堰。工程区冬季少雨且排水历时较短，初期排水不考虑降雨影响。初期基坑排水采用水泵抽排，工程施工安排在晴天施工，排水历时较短，初期排水不考虑降雨影响。初期排水可不考虑渗水，由于基坑的较小，采用2～4台IS50-32-125型水泵，流量12.5m³/h，扬程20m，配带功率2.2kW，即可满足施工需要。因此基坑初期排水对周边地表水环境的影响在可接受范围，环境影响较小。</w:t>
            </w:r>
          </w:p>
          <w:p>
            <w:pPr>
              <w:spacing w:line="360" w:lineRule="auto"/>
              <w:ind w:firstLine="482" w:firstLineChars="200"/>
              <w:rPr>
                <w:b/>
                <w:bCs/>
                <w:color w:val="auto"/>
                <w:sz w:val="24"/>
              </w:rPr>
            </w:pPr>
            <w:r>
              <w:rPr>
                <w:b/>
                <w:bCs/>
                <w:color w:val="auto"/>
                <w:sz w:val="24"/>
              </w:rPr>
              <w:t>（2）施工期间经常性基坑排水影响分析</w:t>
            </w:r>
          </w:p>
          <w:p>
            <w:pPr>
              <w:adjustRightInd w:val="0"/>
              <w:snapToGrid w:val="0"/>
              <w:spacing w:line="360" w:lineRule="auto"/>
              <w:ind w:firstLine="480" w:firstLineChars="200"/>
              <w:rPr>
                <w:color w:val="auto"/>
                <w:sz w:val="24"/>
              </w:rPr>
            </w:pPr>
            <w:r>
              <w:rPr>
                <w:color w:val="auto"/>
                <w:sz w:val="24"/>
              </w:rPr>
              <w:t>经常性排水主要为渗透水，此外尚有基坑施工期的天然降水和施工弃水等，每段选用2～4台IS50-32-125型水泵，流量12.5m³/h，扬程20m，配带功率2.2kW，施工时段不间断排水。经常性排水能经水泵及时抽排至下游，可保证混凝土浇筑干地施工。</w:t>
            </w:r>
          </w:p>
          <w:p>
            <w:pPr>
              <w:adjustRightInd w:val="0"/>
              <w:snapToGrid w:val="0"/>
              <w:spacing w:line="360" w:lineRule="auto"/>
              <w:ind w:firstLine="480" w:firstLineChars="200"/>
              <w:rPr>
                <w:color w:val="auto"/>
                <w:sz w:val="24"/>
              </w:rPr>
            </w:pPr>
            <w:r>
              <w:rPr>
                <w:color w:val="auto"/>
                <w:sz w:val="24"/>
              </w:rPr>
              <w:t>因此，项目施工期间基坑排水对周边地表水环境的影响较小。</w:t>
            </w:r>
          </w:p>
          <w:p>
            <w:pPr>
              <w:adjustRightInd w:val="0"/>
              <w:snapToGrid w:val="0"/>
              <w:spacing w:line="360" w:lineRule="auto"/>
              <w:ind w:firstLine="482" w:firstLineChars="200"/>
              <w:rPr>
                <w:b/>
                <w:bCs/>
                <w:color w:val="auto"/>
                <w:sz w:val="24"/>
              </w:rPr>
            </w:pPr>
            <w:r>
              <w:rPr>
                <w:b/>
                <w:bCs/>
                <w:color w:val="auto"/>
                <w:sz w:val="24"/>
              </w:rPr>
              <w:t>（3）设备冲洗废水</w:t>
            </w:r>
          </w:p>
          <w:p>
            <w:pPr>
              <w:adjustRightInd w:val="0"/>
              <w:snapToGrid w:val="0"/>
              <w:spacing w:line="360" w:lineRule="auto"/>
              <w:ind w:firstLine="480" w:firstLineChars="200"/>
              <w:rPr>
                <w:color w:val="auto"/>
                <w:sz w:val="24"/>
              </w:rPr>
            </w:pPr>
            <w:r>
              <w:rPr>
                <w:color w:val="auto"/>
                <w:sz w:val="24"/>
              </w:rPr>
              <w:t>施工设备冲洗废水悬浮物浓度较高，pH值呈弱碱性，并带有少量的油污，类比同类工程，其浓度SS约2000~4000mg/ L，石油类&lt;10 mg/L，废水产生量约为3m</w:t>
            </w:r>
            <w:r>
              <w:rPr>
                <w:color w:val="auto"/>
                <w:sz w:val="24"/>
                <w:vertAlign w:val="superscript"/>
              </w:rPr>
              <w:t>3</w:t>
            </w:r>
            <w:r>
              <w:rPr>
                <w:color w:val="auto"/>
                <w:sz w:val="24"/>
              </w:rPr>
              <w:t>/d。</w:t>
            </w:r>
          </w:p>
          <w:p>
            <w:pPr>
              <w:adjustRightInd w:val="0"/>
              <w:snapToGrid w:val="0"/>
              <w:spacing w:line="360" w:lineRule="auto"/>
              <w:ind w:firstLine="480" w:firstLineChars="200"/>
              <w:rPr>
                <w:color w:val="auto"/>
                <w:sz w:val="24"/>
              </w:rPr>
            </w:pPr>
            <w:r>
              <w:rPr>
                <w:color w:val="auto"/>
                <w:sz w:val="24"/>
              </w:rPr>
              <w:t>本项目机械设备产生的冲洗废水拟在施工场地机械设备场旁边设置10m</w:t>
            </w:r>
            <w:r>
              <w:rPr>
                <w:color w:val="auto"/>
                <w:sz w:val="24"/>
                <w:vertAlign w:val="superscript"/>
              </w:rPr>
              <w:t>3</w:t>
            </w:r>
            <w:r>
              <w:rPr>
                <w:color w:val="auto"/>
                <w:sz w:val="24"/>
              </w:rPr>
              <w:t>沉淀池进行处理，冲洗水通过沉淀之后的废水回用于施工车辆车轮冲洗过程中，循环使用，不外排。</w:t>
            </w:r>
          </w:p>
          <w:p>
            <w:pPr>
              <w:adjustRightInd w:val="0"/>
              <w:snapToGrid w:val="0"/>
              <w:spacing w:line="360" w:lineRule="auto"/>
              <w:ind w:firstLine="480" w:firstLineChars="200"/>
              <w:rPr>
                <w:color w:val="auto"/>
                <w:sz w:val="24"/>
              </w:rPr>
            </w:pPr>
            <w:r>
              <w:rPr>
                <w:color w:val="auto"/>
                <w:sz w:val="24"/>
              </w:rPr>
              <w:t>设备冲洗水循环使用不外排，对周边地表水体影响较小。</w:t>
            </w:r>
          </w:p>
          <w:p>
            <w:pPr>
              <w:adjustRightInd w:val="0"/>
              <w:snapToGrid w:val="0"/>
              <w:spacing w:line="360" w:lineRule="auto"/>
              <w:ind w:left="420" w:leftChars="200"/>
              <w:rPr>
                <w:b/>
                <w:bCs/>
                <w:color w:val="auto"/>
                <w:sz w:val="24"/>
              </w:rPr>
            </w:pPr>
            <w:r>
              <w:rPr>
                <w:b/>
                <w:bCs/>
                <w:color w:val="auto"/>
                <w:sz w:val="24"/>
              </w:rPr>
              <w:t>（4）淤料脱水废水</w:t>
            </w:r>
          </w:p>
          <w:p>
            <w:pPr>
              <w:adjustRightInd w:val="0"/>
              <w:snapToGrid w:val="0"/>
              <w:spacing w:line="360" w:lineRule="auto"/>
              <w:ind w:firstLine="480" w:firstLineChars="200"/>
              <w:rPr>
                <w:color w:val="auto"/>
                <w:sz w:val="24"/>
              </w:rPr>
            </w:pPr>
            <w:r>
              <w:rPr>
                <w:color w:val="auto"/>
                <w:sz w:val="24"/>
              </w:rPr>
              <w:t>开挖的清淤料运输至临时堆料场（</w:t>
            </w:r>
            <w:r>
              <w:rPr>
                <w:color w:val="auto"/>
                <w:sz w:val="24"/>
              </w:rPr>
              <w:t>位于广K4+200m处</w:t>
            </w:r>
            <w:r>
              <w:rPr>
                <w:color w:val="auto"/>
                <w:sz w:val="24"/>
              </w:rPr>
              <w:t>）</w:t>
            </w:r>
            <w:r>
              <w:rPr>
                <w:rFonts w:hint="eastAsia"/>
                <w:color w:val="auto"/>
                <w:sz w:val="24"/>
                <w:lang w:val="en-US" w:eastAsia="zh-CN"/>
              </w:rPr>
              <w:t>经晾晒</w:t>
            </w:r>
            <w:r>
              <w:rPr>
                <w:color w:val="auto"/>
                <w:sz w:val="24"/>
              </w:rPr>
              <w:t>脱水暂存，清淤料</w:t>
            </w:r>
            <w:r>
              <w:rPr>
                <w:rFonts w:hint="eastAsia"/>
                <w:color w:val="auto"/>
                <w:sz w:val="24"/>
                <w:lang w:val="en-US" w:eastAsia="zh-CN"/>
              </w:rPr>
              <w:t>晾晒</w:t>
            </w:r>
            <w:r>
              <w:rPr>
                <w:color w:val="auto"/>
                <w:sz w:val="24"/>
              </w:rPr>
              <w:t>脱水产生的废水收集后由临时堆料场的沉淀池处理，用于场内洒水降尘和车辆冲洗，不外排。</w:t>
            </w:r>
          </w:p>
          <w:p>
            <w:pPr>
              <w:adjustRightInd w:val="0"/>
              <w:snapToGrid w:val="0"/>
              <w:spacing w:line="360" w:lineRule="auto"/>
              <w:ind w:firstLine="480" w:firstLineChars="200"/>
              <w:rPr>
                <w:color w:val="auto"/>
                <w:sz w:val="24"/>
              </w:rPr>
            </w:pPr>
            <w:r>
              <w:rPr>
                <w:color w:val="auto"/>
                <w:sz w:val="24"/>
              </w:rPr>
              <w:t>因此，项目施工期间淤料脱水废水对周边地表水环境的影响较小。</w:t>
            </w:r>
          </w:p>
          <w:p>
            <w:pPr>
              <w:spacing w:line="360" w:lineRule="auto"/>
              <w:ind w:firstLine="482" w:firstLineChars="200"/>
              <w:rPr>
                <w:b/>
                <w:bCs/>
                <w:color w:val="auto"/>
                <w:sz w:val="24"/>
              </w:rPr>
            </w:pPr>
            <w:r>
              <w:rPr>
                <w:b/>
                <w:bCs/>
                <w:color w:val="auto"/>
                <w:sz w:val="24"/>
              </w:rPr>
              <w:t>3、涉水施工对河流水质影响分析</w:t>
            </w:r>
          </w:p>
          <w:p>
            <w:pPr>
              <w:spacing w:line="360" w:lineRule="auto"/>
              <w:ind w:firstLine="480" w:firstLineChars="200"/>
              <w:rPr>
                <w:color w:val="auto"/>
                <w:sz w:val="24"/>
              </w:rPr>
            </w:pPr>
            <w:r>
              <w:rPr>
                <w:color w:val="auto"/>
                <w:sz w:val="24"/>
              </w:rPr>
              <w:t>本项目在枯水期施工，导流方式采用基坑开挖形成围堰，本项目河段大部分堤段处于河漫滩上，地面高程远高于施工枯水期洪水位。因此项目在围堰开挖过程中几乎不直接接触地表水水体，项目施工对河流水质扰动主要在少量涉水施工河段采用开挖料堆放土石堰以及拆除过程中。</w:t>
            </w:r>
          </w:p>
          <w:p>
            <w:pPr>
              <w:spacing w:line="360" w:lineRule="auto"/>
              <w:ind w:firstLine="480" w:firstLineChars="200"/>
              <w:rPr>
                <w:color w:val="auto"/>
                <w:sz w:val="24"/>
              </w:rPr>
            </w:pPr>
            <w:r>
              <w:rPr>
                <w:color w:val="auto"/>
                <w:sz w:val="24"/>
              </w:rPr>
              <w:t>类比同类河湖整治（疏浚开挖、堤防修建）的项目可知，当污染物扩散到距搅动底泥30m处时，水体中污染物SS的浓度衰减达74.6~98.7%（未扣除本底），最大影响半径为50m，扩散污染可大致分为三个区域，即面源污染扩散区（0-2m）、紊动扩散区（2-30m）和相对污染扩散区（30-50m）。</w:t>
            </w:r>
          </w:p>
          <w:p>
            <w:pPr>
              <w:spacing w:line="360" w:lineRule="auto"/>
              <w:ind w:firstLine="480" w:firstLineChars="200"/>
              <w:rPr>
                <w:color w:val="auto"/>
                <w:sz w:val="24"/>
              </w:rPr>
            </w:pPr>
            <w:r>
              <w:rPr>
                <w:color w:val="auto"/>
                <w:sz w:val="24"/>
              </w:rPr>
              <w:t>面源污染扩散区（0-2m）：因机械搅动使底泥在离心力作用下由点源扩展为面源污染扩散区，由于同时受到机械挖掘的向心力作用，污染物的浓度会急剧下降；</w:t>
            </w:r>
          </w:p>
          <w:p>
            <w:pPr>
              <w:spacing w:line="360" w:lineRule="auto"/>
              <w:ind w:firstLine="480" w:firstLineChars="200"/>
              <w:rPr>
                <w:color w:val="auto"/>
                <w:sz w:val="24"/>
              </w:rPr>
            </w:pPr>
            <w:r>
              <w:rPr>
                <w:color w:val="auto"/>
                <w:sz w:val="24"/>
              </w:rPr>
              <w:t>紊动扩散区（2-30m）：由于污染物扩散能力同时受到紊动和浓度梯度的影响，污染物的浓度衰减出现差异，Pb、Zn、Cd衰减率为98.7~96.8%，Cr、Cu、As为80.9~87.5%，SS为86.9%；</w:t>
            </w:r>
          </w:p>
          <w:p>
            <w:pPr>
              <w:spacing w:line="360" w:lineRule="auto"/>
              <w:ind w:firstLine="480" w:firstLineChars="200"/>
              <w:rPr>
                <w:color w:val="auto"/>
                <w:sz w:val="24"/>
              </w:rPr>
            </w:pPr>
            <w:r>
              <w:rPr>
                <w:color w:val="auto"/>
                <w:sz w:val="24"/>
              </w:rPr>
              <w:t>相对污染扩散区（30-50m）：污染物的扩散仅取决于水力学特征，污染物浓度接近于本底值。</w:t>
            </w:r>
          </w:p>
          <w:p>
            <w:pPr>
              <w:spacing w:line="360" w:lineRule="auto"/>
              <w:ind w:firstLine="480" w:firstLineChars="200"/>
              <w:rPr>
                <w:color w:val="auto"/>
                <w:sz w:val="24"/>
              </w:rPr>
            </w:pPr>
            <w:r>
              <w:rPr>
                <w:color w:val="auto"/>
                <w:sz w:val="24"/>
              </w:rPr>
              <w:t>本项目在枯水期施工，且项目河道内主要为淤积的砂石，淤泥量极少，预测因本项目施工扰动地表水体造成水体悬浮物升高的影响范围为施工点的下游50m范围内。同时，项目施工过程对水体扰动产生的悬浮泥沙对河流水质的影响时间是短暂的，这种影响一旦施工完毕，在较短的时间（＜6h）内也就结束。</w:t>
            </w:r>
          </w:p>
          <w:p>
            <w:pPr>
              <w:spacing w:line="360" w:lineRule="auto"/>
              <w:ind w:firstLine="480" w:firstLineChars="200"/>
              <w:rPr>
                <w:color w:val="auto"/>
                <w:sz w:val="24"/>
              </w:rPr>
            </w:pPr>
            <w:r>
              <w:rPr>
                <w:color w:val="auto"/>
                <w:sz w:val="24"/>
              </w:rPr>
              <w:t>故项目施工对河流水质的影响范围有限，对广坪河的水环境影响不大，广坪河水质可保持现状，满足《地表水环境质量标准》（GB3838-2002）III类标准。</w:t>
            </w:r>
          </w:p>
          <w:p>
            <w:pPr>
              <w:spacing w:line="360" w:lineRule="auto"/>
              <w:ind w:firstLine="480" w:firstLineChars="200"/>
              <w:rPr>
                <w:color w:val="auto"/>
                <w:sz w:val="24"/>
              </w:rPr>
            </w:pPr>
            <w:r>
              <w:rPr>
                <w:color w:val="auto"/>
                <w:sz w:val="24"/>
              </w:rPr>
              <w:t>综上，环评要求在施工期间，禁止向广坪河倾倒各类施工固废，减少施工过程对河流水生生物及河流水质的影响。</w:t>
            </w:r>
          </w:p>
          <w:p>
            <w:pPr>
              <w:spacing w:line="360" w:lineRule="auto"/>
              <w:ind w:firstLine="480" w:firstLineChars="200"/>
              <w:rPr>
                <w:color w:val="auto"/>
                <w:sz w:val="24"/>
              </w:rPr>
            </w:pPr>
            <w:r>
              <w:rPr>
                <w:color w:val="auto"/>
                <w:sz w:val="24"/>
              </w:rPr>
              <w:t>本项目下游最近国控（省控）监测断面位于朝天区元西村，距离本项目整治河段下游约13km，距离较远，本项目在严格采取上述措施后，对国控断面水质影响较小。</w:t>
            </w:r>
          </w:p>
          <w:p>
            <w:pPr>
              <w:spacing w:line="360" w:lineRule="auto"/>
              <w:ind w:firstLine="482" w:firstLineChars="200"/>
              <w:rPr>
                <w:b/>
                <w:bCs/>
                <w:color w:val="auto"/>
                <w:sz w:val="24"/>
              </w:rPr>
            </w:pPr>
            <w:r>
              <w:rPr>
                <w:b/>
                <w:bCs/>
                <w:color w:val="auto"/>
                <w:sz w:val="24"/>
              </w:rPr>
              <w:t>4、施工期对河段水文情势影响分析</w:t>
            </w:r>
          </w:p>
          <w:p>
            <w:pPr>
              <w:spacing w:line="360" w:lineRule="auto"/>
              <w:ind w:firstLine="480" w:firstLineChars="200"/>
              <w:rPr>
                <w:color w:val="auto"/>
                <w:sz w:val="24"/>
              </w:rPr>
            </w:pPr>
            <w:r>
              <w:rPr>
                <w:color w:val="auto"/>
                <w:sz w:val="24"/>
              </w:rPr>
              <w:t>本工程施工期需要考虑导流，</w:t>
            </w:r>
            <w:r>
              <w:rPr>
                <w:color w:val="auto"/>
                <w:sz w:val="24"/>
                <w:lang w:val="en-GB"/>
              </w:rPr>
              <w:t>本工程采用土石围堰。施工临时围堰的参数为：根据工程河段分期洪水成果表，枯水期导流流量为</w:t>
            </w:r>
            <w:r>
              <w:rPr>
                <w:color w:val="auto"/>
                <w:sz w:val="24"/>
              </w:rPr>
              <w:t>12.5m³/s</w:t>
            </w:r>
            <w:r>
              <w:rPr>
                <w:color w:val="auto"/>
                <w:sz w:val="24"/>
                <w:lang w:val="en-GB"/>
              </w:rPr>
              <w:t>。工程河段导流水位为</w:t>
            </w:r>
            <w:r>
              <w:rPr>
                <w:color w:val="auto"/>
                <w:sz w:val="24"/>
              </w:rPr>
              <w:t>486.40m~492.97m，工程河段广坪河羊木段基础开挖面高程为483.50m~493.01m，由于工程堤防基础大部分坐落于河滩地，河堤基础开挖处原河床地面高于对应位置分期洪水水位，对低于断面处设置围堰，因此施工期来水基本维持原来状态，施工期对水文情势影响不大。</w:t>
            </w:r>
          </w:p>
          <w:p>
            <w:pPr>
              <w:spacing w:line="360" w:lineRule="auto"/>
              <w:ind w:firstLine="482" w:firstLineChars="200"/>
              <w:rPr>
                <w:b/>
                <w:bCs/>
                <w:color w:val="auto"/>
                <w:sz w:val="24"/>
              </w:rPr>
            </w:pPr>
            <w:r>
              <w:rPr>
                <w:b/>
                <w:bCs/>
                <w:color w:val="auto"/>
                <w:sz w:val="24"/>
              </w:rPr>
              <w:t>5、施工期地下水环境影响分析</w:t>
            </w:r>
          </w:p>
          <w:p>
            <w:pPr>
              <w:spacing w:line="360" w:lineRule="auto"/>
              <w:ind w:firstLine="480" w:firstLineChars="200"/>
              <w:rPr>
                <w:color w:val="auto"/>
                <w:sz w:val="24"/>
              </w:rPr>
            </w:pPr>
            <w:r>
              <w:rPr>
                <w:color w:val="auto"/>
                <w:sz w:val="24"/>
              </w:rPr>
              <w:t>本工程主要建设内容包括河道疏挖、防洪堤建设等内容。</w:t>
            </w:r>
          </w:p>
          <w:p>
            <w:pPr>
              <w:spacing w:line="360" w:lineRule="auto"/>
              <w:ind w:firstLine="480" w:firstLineChars="200"/>
              <w:rPr>
                <w:color w:val="auto"/>
                <w:sz w:val="24"/>
              </w:rPr>
            </w:pPr>
            <w:r>
              <w:rPr>
                <w:color w:val="auto"/>
                <w:sz w:val="24"/>
              </w:rPr>
              <w:t>施工期废水主要包括生活污水及设备冲洗废水。生活污水主要污染物为COD、BOD</w:t>
            </w:r>
            <w:r>
              <w:rPr>
                <w:color w:val="auto"/>
                <w:sz w:val="24"/>
                <w:vertAlign w:val="subscript"/>
              </w:rPr>
              <w:t>5</w:t>
            </w:r>
            <w:r>
              <w:rPr>
                <w:color w:val="auto"/>
                <w:sz w:val="24"/>
              </w:rPr>
              <w:t>、SS、NH</w:t>
            </w:r>
            <w:r>
              <w:rPr>
                <w:color w:val="auto"/>
                <w:sz w:val="24"/>
                <w:vertAlign w:val="subscript"/>
              </w:rPr>
              <w:t>3</w:t>
            </w:r>
            <w:r>
              <w:rPr>
                <w:color w:val="auto"/>
                <w:sz w:val="24"/>
              </w:rPr>
              <w:t>-N。设备冲洗废水中除了含有少量的石油类和悬浮物外基本没有其他污染物，不含有重金属污染物。</w:t>
            </w:r>
          </w:p>
          <w:p>
            <w:pPr>
              <w:spacing w:line="360" w:lineRule="auto"/>
              <w:ind w:firstLine="480" w:firstLineChars="200"/>
              <w:rPr>
                <w:rFonts w:hint="eastAsia"/>
                <w:color w:val="auto"/>
                <w:sz w:val="24"/>
                <w:lang w:eastAsia="zh-CN"/>
              </w:rPr>
            </w:pPr>
            <w:r>
              <w:rPr>
                <w:color w:val="auto"/>
                <w:sz w:val="24"/>
              </w:rPr>
              <w:t>施工期对污、废水集中收集并对处理设施做好</w:t>
            </w:r>
            <w:r>
              <w:rPr>
                <w:rFonts w:hint="eastAsia"/>
                <w:color w:val="auto"/>
                <w:sz w:val="24"/>
                <w:lang w:eastAsia="zh-CN"/>
              </w:rPr>
              <w:t>了</w:t>
            </w:r>
            <w:r>
              <w:rPr>
                <w:color w:val="auto"/>
                <w:sz w:val="24"/>
              </w:rPr>
              <w:t>防渗处理，</w:t>
            </w:r>
            <w:r>
              <w:rPr>
                <w:rFonts w:hint="eastAsia"/>
                <w:color w:val="auto"/>
                <w:sz w:val="24"/>
                <w:lang w:val="en-US" w:eastAsia="zh-CN"/>
              </w:rPr>
              <w:t>未</w:t>
            </w:r>
            <w:r>
              <w:rPr>
                <w:color w:val="auto"/>
                <w:sz w:val="24"/>
              </w:rPr>
              <w:t>对地下水产生影响</w:t>
            </w:r>
            <w:r>
              <w:rPr>
                <w:rFonts w:hint="eastAsia"/>
                <w:color w:val="auto"/>
                <w:sz w:val="24"/>
                <w:lang w:eastAsia="zh-CN"/>
              </w:rPr>
              <w:t>。</w:t>
            </w:r>
          </w:p>
          <w:p>
            <w:pPr>
              <w:spacing w:line="360" w:lineRule="auto"/>
              <w:ind w:firstLine="482" w:firstLineChars="200"/>
              <w:rPr>
                <w:rFonts w:hint="default"/>
                <w:b/>
                <w:bCs/>
                <w:color w:val="auto"/>
                <w:sz w:val="24"/>
                <w:lang w:val="en-US" w:eastAsia="zh-CN"/>
              </w:rPr>
            </w:pPr>
            <w:r>
              <w:rPr>
                <w:rFonts w:hint="eastAsia"/>
                <w:b/>
                <w:bCs/>
                <w:color w:val="auto"/>
                <w:sz w:val="24"/>
                <w:lang w:val="en-US" w:eastAsia="zh-CN"/>
              </w:rPr>
              <w:t>6、施工期水环境影响分析小结</w:t>
            </w:r>
          </w:p>
          <w:p>
            <w:pPr>
              <w:spacing w:line="360" w:lineRule="auto"/>
              <w:ind w:firstLine="480" w:firstLineChars="200"/>
              <w:rPr>
                <w:color w:val="auto"/>
              </w:rPr>
            </w:pPr>
            <w:r>
              <w:rPr>
                <w:rFonts w:hint="eastAsia"/>
                <w:color w:val="auto"/>
                <w:sz w:val="24"/>
                <w:lang w:val="en-US" w:eastAsia="zh-CN"/>
              </w:rPr>
              <w:t>本项目施工期已基本结束，施工单位严格按照上述要求实施了水环境保护措施，项目施工期对水环境的影响较小，且已结束</w:t>
            </w:r>
            <w:r>
              <w:rPr>
                <w:color w:val="auto"/>
                <w:sz w:val="24"/>
              </w:rPr>
              <w:t>。</w:t>
            </w:r>
          </w:p>
          <w:p>
            <w:pPr>
              <w:adjustRightInd w:val="0"/>
              <w:snapToGrid w:val="0"/>
              <w:spacing w:line="360" w:lineRule="auto"/>
              <w:rPr>
                <w:b/>
                <w:color w:val="auto"/>
                <w:spacing w:val="-10"/>
                <w:sz w:val="24"/>
              </w:rPr>
            </w:pPr>
            <w:r>
              <w:rPr>
                <w:b/>
                <w:color w:val="auto"/>
                <w:spacing w:val="-10"/>
                <w:sz w:val="24"/>
              </w:rPr>
              <w:t>四、施工期噪声环境保护措施</w:t>
            </w:r>
          </w:p>
          <w:p>
            <w:pPr>
              <w:spacing w:line="360" w:lineRule="auto"/>
              <w:ind w:firstLine="480" w:firstLineChars="200"/>
              <w:rPr>
                <w:color w:val="auto"/>
                <w:sz w:val="24"/>
              </w:rPr>
            </w:pPr>
            <w:r>
              <w:rPr>
                <w:color w:val="auto"/>
                <w:sz w:val="24"/>
              </w:rPr>
              <w:t>施工过程中，机械开挖、运输等施工活动产生的噪声将对工程地区的声环境带来一定影响。工程施工主要产噪施工机械有：自卸汽车、挖掘机、装载机等。将以上声源视为点声源，根据声源噪声衰减的计算公式如下：</w:t>
            </w:r>
          </w:p>
          <w:p>
            <w:pPr>
              <w:adjustRightInd w:val="0"/>
              <w:snapToGrid w:val="0"/>
              <w:spacing w:line="360" w:lineRule="auto"/>
              <w:ind w:firstLine="480" w:firstLineChars="200"/>
              <w:jc w:val="center"/>
              <w:rPr>
                <w:color w:val="auto"/>
                <w:sz w:val="24"/>
              </w:rPr>
            </w:pPr>
            <w:r>
              <w:rPr>
                <w:color w:val="auto"/>
                <w:sz w:val="24"/>
              </w:rPr>
              <w:t>L</w:t>
            </w:r>
            <w:r>
              <w:rPr>
                <w:color w:val="auto"/>
                <w:sz w:val="24"/>
                <w:vertAlign w:val="subscript"/>
              </w:rPr>
              <w:t>2</w:t>
            </w:r>
            <w:r>
              <w:rPr>
                <w:color w:val="auto"/>
                <w:sz w:val="24"/>
              </w:rPr>
              <w:t>＝L</w:t>
            </w:r>
            <w:r>
              <w:rPr>
                <w:color w:val="auto"/>
                <w:sz w:val="24"/>
                <w:vertAlign w:val="subscript"/>
              </w:rPr>
              <w:t>1</w:t>
            </w:r>
            <w:r>
              <w:rPr>
                <w:color w:val="auto"/>
                <w:sz w:val="24"/>
              </w:rPr>
              <w:t>－20lg（r</w:t>
            </w:r>
            <w:r>
              <w:rPr>
                <w:color w:val="auto"/>
                <w:sz w:val="24"/>
                <w:vertAlign w:val="subscript"/>
              </w:rPr>
              <w:t>2</w:t>
            </w:r>
            <w:r>
              <w:rPr>
                <w:color w:val="auto"/>
                <w:sz w:val="24"/>
              </w:rPr>
              <w:t>/r</w:t>
            </w:r>
            <w:r>
              <w:rPr>
                <w:color w:val="auto"/>
                <w:sz w:val="24"/>
                <w:vertAlign w:val="subscript"/>
              </w:rPr>
              <w:t>1</w:t>
            </w:r>
            <w:r>
              <w:rPr>
                <w:color w:val="auto"/>
                <w:sz w:val="24"/>
              </w:rPr>
              <w:t>）（r</w:t>
            </w:r>
            <w:r>
              <w:rPr>
                <w:color w:val="auto"/>
                <w:sz w:val="24"/>
                <w:vertAlign w:val="subscript"/>
              </w:rPr>
              <w:t>2</w:t>
            </w:r>
            <w:r>
              <w:rPr>
                <w:color w:val="auto"/>
                <w:sz w:val="24"/>
              </w:rPr>
              <w:t>&gt;r</w:t>
            </w:r>
            <w:r>
              <w:rPr>
                <w:color w:val="auto"/>
                <w:sz w:val="24"/>
                <w:vertAlign w:val="subscript"/>
              </w:rPr>
              <w:t>1</w:t>
            </w:r>
            <w:r>
              <w:rPr>
                <w:color w:val="auto"/>
                <w:sz w:val="24"/>
              </w:rPr>
              <w:t>）</w:t>
            </w:r>
          </w:p>
          <w:p>
            <w:pPr>
              <w:spacing w:line="360" w:lineRule="auto"/>
              <w:ind w:firstLine="480" w:firstLineChars="200"/>
              <w:rPr>
                <w:color w:val="auto"/>
                <w:sz w:val="24"/>
              </w:rPr>
            </w:pPr>
            <w:r>
              <w:rPr>
                <w:color w:val="auto"/>
                <w:sz w:val="24"/>
              </w:rPr>
              <w:t>式中：</w:t>
            </w:r>
          </w:p>
          <w:p>
            <w:pPr>
              <w:spacing w:line="360" w:lineRule="auto"/>
              <w:ind w:firstLine="480" w:firstLineChars="200"/>
              <w:rPr>
                <w:color w:val="auto"/>
                <w:sz w:val="24"/>
              </w:rPr>
            </w:pPr>
            <w:r>
              <w:rPr>
                <w:color w:val="auto"/>
                <w:sz w:val="24"/>
              </w:rPr>
              <w:t>r</w:t>
            </w:r>
            <w:r>
              <w:rPr>
                <w:color w:val="auto"/>
                <w:sz w:val="24"/>
                <w:vertAlign w:val="subscript"/>
              </w:rPr>
              <w:t>2</w:t>
            </w:r>
            <w:r>
              <w:rPr>
                <w:color w:val="auto"/>
                <w:sz w:val="24"/>
              </w:rPr>
              <w:t>、r</w:t>
            </w:r>
            <w:r>
              <w:rPr>
                <w:color w:val="auto"/>
                <w:sz w:val="24"/>
                <w:vertAlign w:val="subscript"/>
              </w:rPr>
              <w:t>1</w:t>
            </w:r>
            <w:r>
              <w:rPr>
                <w:color w:val="auto"/>
                <w:sz w:val="24"/>
              </w:rPr>
              <w:t xml:space="preserve"> ：距离声源的距离（m）。</w:t>
            </w:r>
          </w:p>
          <w:p>
            <w:pPr>
              <w:spacing w:line="360" w:lineRule="auto"/>
              <w:ind w:firstLine="480" w:firstLineChars="200"/>
              <w:rPr>
                <w:color w:val="auto"/>
                <w:sz w:val="24"/>
              </w:rPr>
            </w:pPr>
            <w:r>
              <w:rPr>
                <w:color w:val="auto"/>
                <w:sz w:val="24"/>
              </w:rPr>
              <w:t>L</w:t>
            </w:r>
            <w:r>
              <w:rPr>
                <w:color w:val="auto"/>
                <w:sz w:val="24"/>
                <w:vertAlign w:val="subscript"/>
              </w:rPr>
              <w:t>2</w:t>
            </w:r>
            <w:r>
              <w:rPr>
                <w:color w:val="auto"/>
                <w:sz w:val="24"/>
              </w:rPr>
              <w:t>、L</w:t>
            </w:r>
            <w:r>
              <w:rPr>
                <w:color w:val="auto"/>
                <w:sz w:val="24"/>
                <w:vertAlign w:val="subscript"/>
              </w:rPr>
              <w:t>1</w:t>
            </w:r>
            <w:r>
              <w:rPr>
                <w:color w:val="auto"/>
                <w:sz w:val="24"/>
              </w:rPr>
              <w:t xml:space="preserve"> ： r</w:t>
            </w:r>
            <w:r>
              <w:rPr>
                <w:color w:val="auto"/>
                <w:sz w:val="24"/>
                <w:vertAlign w:val="subscript"/>
              </w:rPr>
              <w:t>2</w:t>
            </w:r>
            <w:r>
              <w:rPr>
                <w:color w:val="auto"/>
                <w:sz w:val="24"/>
              </w:rPr>
              <w:t>、r</w:t>
            </w:r>
            <w:r>
              <w:rPr>
                <w:color w:val="auto"/>
                <w:sz w:val="24"/>
                <w:vertAlign w:val="subscript"/>
              </w:rPr>
              <w:t>1</w:t>
            </w:r>
            <w:r>
              <w:rPr>
                <w:color w:val="auto"/>
                <w:sz w:val="24"/>
              </w:rPr>
              <w:t>距离出的噪声值dB(A)。</w:t>
            </w:r>
          </w:p>
          <w:p>
            <w:pPr>
              <w:spacing w:line="360" w:lineRule="auto"/>
              <w:ind w:firstLine="480" w:firstLineChars="200"/>
              <w:rPr>
                <w:bCs/>
                <w:color w:val="auto"/>
                <w:sz w:val="24"/>
              </w:rPr>
            </w:pPr>
            <w:r>
              <w:rPr>
                <w:color w:val="auto"/>
                <w:sz w:val="24"/>
              </w:rPr>
              <w:t>各种施工设备在施工时随距离的衰减后的声级值见下表。</w:t>
            </w:r>
          </w:p>
          <w:p>
            <w:pPr>
              <w:widowControl/>
              <w:numPr>
                <w:ilvl w:val="0"/>
                <w:numId w:val="10"/>
              </w:numPr>
              <w:adjustRightInd w:val="0"/>
              <w:snapToGrid w:val="0"/>
              <w:jc w:val="center"/>
              <w:rPr>
                <w:b/>
                <w:color w:val="auto"/>
                <w:szCs w:val="21"/>
              </w:rPr>
            </w:pPr>
            <w:r>
              <w:rPr>
                <w:b/>
                <w:color w:val="auto"/>
                <w:sz w:val="24"/>
              </w:rPr>
              <w:t xml:space="preserve"> </w:t>
            </w:r>
            <w:r>
              <w:rPr>
                <w:b/>
                <w:color w:val="auto"/>
                <w:szCs w:val="21"/>
              </w:rPr>
              <w:t xml:space="preserve">主要施工机械在不同距离的噪声值 </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2001"/>
              <w:gridCol w:w="920"/>
              <w:gridCol w:w="842"/>
              <w:gridCol w:w="894"/>
              <w:gridCol w:w="975"/>
              <w:gridCol w:w="894"/>
              <w:gridCol w:w="9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93" w:type="pct"/>
                  <w:vMerge w:val="restart"/>
                  <w:vAlign w:val="center"/>
                </w:tcPr>
                <w:p>
                  <w:pPr>
                    <w:pStyle w:val="54"/>
                    <w:spacing w:line="240" w:lineRule="auto"/>
                    <w:rPr>
                      <w:b/>
                      <w:color w:val="auto"/>
                      <w:lang w:bidi="en-US"/>
                    </w:rPr>
                  </w:pPr>
                  <w:r>
                    <w:rPr>
                      <w:b/>
                      <w:color w:val="auto"/>
                      <w:lang w:bidi="en-US"/>
                    </w:rPr>
                    <w:t>序号</w:t>
                  </w:r>
                </w:p>
              </w:tc>
              <w:tc>
                <w:tcPr>
                  <w:tcW w:w="1231" w:type="pct"/>
                  <w:vMerge w:val="restart"/>
                  <w:vAlign w:val="center"/>
                </w:tcPr>
                <w:p>
                  <w:pPr>
                    <w:pStyle w:val="54"/>
                    <w:spacing w:line="240" w:lineRule="auto"/>
                    <w:rPr>
                      <w:b/>
                      <w:color w:val="auto"/>
                      <w:lang w:bidi="en-US"/>
                    </w:rPr>
                  </w:pPr>
                  <w:r>
                    <w:rPr>
                      <w:b/>
                      <w:color w:val="auto"/>
                      <w:lang w:bidi="en-US"/>
                    </w:rPr>
                    <w:t>施工机械设备名称</w:t>
                  </w:r>
                </w:p>
              </w:tc>
              <w:tc>
                <w:tcPr>
                  <w:tcW w:w="3375" w:type="pct"/>
                  <w:gridSpan w:val="6"/>
                  <w:vAlign w:val="center"/>
                </w:tcPr>
                <w:p>
                  <w:pPr>
                    <w:pStyle w:val="54"/>
                    <w:spacing w:line="240" w:lineRule="auto"/>
                    <w:rPr>
                      <w:b/>
                      <w:color w:val="auto"/>
                      <w:lang w:bidi="en-US"/>
                    </w:rPr>
                  </w:pPr>
                  <w:r>
                    <w:rPr>
                      <w:b/>
                      <w:color w:val="auto"/>
                      <w:lang w:bidi="en-US"/>
                    </w:rPr>
                    <w:t>离施工点不同距离的噪声值  单位</w:t>
                  </w:r>
                  <w:r>
                    <w:rPr>
                      <w:b/>
                      <w:color w:val="auto"/>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393" w:type="pct"/>
                  <w:vMerge w:val="continue"/>
                  <w:vAlign w:val="center"/>
                </w:tcPr>
                <w:p>
                  <w:pPr>
                    <w:pStyle w:val="54"/>
                    <w:spacing w:line="240" w:lineRule="auto"/>
                    <w:rPr>
                      <w:b/>
                      <w:color w:val="auto"/>
                      <w:lang w:bidi="en-US"/>
                    </w:rPr>
                  </w:pPr>
                </w:p>
              </w:tc>
              <w:tc>
                <w:tcPr>
                  <w:tcW w:w="1231" w:type="pct"/>
                  <w:vMerge w:val="continue"/>
                  <w:vAlign w:val="center"/>
                </w:tcPr>
                <w:p>
                  <w:pPr>
                    <w:pStyle w:val="54"/>
                    <w:spacing w:line="240" w:lineRule="auto"/>
                    <w:rPr>
                      <w:b/>
                      <w:color w:val="auto"/>
                      <w:lang w:bidi="en-US"/>
                    </w:rPr>
                  </w:pPr>
                </w:p>
              </w:tc>
              <w:tc>
                <w:tcPr>
                  <w:tcW w:w="566" w:type="pct"/>
                  <w:vAlign w:val="center"/>
                </w:tcPr>
                <w:p>
                  <w:pPr>
                    <w:pStyle w:val="54"/>
                    <w:spacing w:line="240" w:lineRule="auto"/>
                    <w:rPr>
                      <w:b/>
                      <w:color w:val="auto"/>
                      <w:lang w:bidi="en-US"/>
                    </w:rPr>
                  </w:pPr>
                  <w:r>
                    <w:rPr>
                      <w:b/>
                      <w:color w:val="auto"/>
                      <w:lang w:bidi="en-US"/>
                    </w:rPr>
                    <w:t>10m</w:t>
                  </w:r>
                </w:p>
              </w:tc>
              <w:tc>
                <w:tcPr>
                  <w:tcW w:w="518" w:type="pct"/>
                  <w:vAlign w:val="center"/>
                </w:tcPr>
                <w:p>
                  <w:pPr>
                    <w:pStyle w:val="54"/>
                    <w:spacing w:line="240" w:lineRule="auto"/>
                    <w:rPr>
                      <w:b/>
                      <w:color w:val="auto"/>
                      <w:lang w:bidi="en-US"/>
                    </w:rPr>
                  </w:pPr>
                  <w:r>
                    <w:rPr>
                      <w:b/>
                      <w:color w:val="auto"/>
                      <w:lang w:bidi="en-US"/>
                    </w:rPr>
                    <w:t>50m</w:t>
                  </w:r>
                </w:p>
              </w:tc>
              <w:tc>
                <w:tcPr>
                  <w:tcW w:w="550" w:type="pct"/>
                  <w:vAlign w:val="center"/>
                </w:tcPr>
                <w:p>
                  <w:pPr>
                    <w:pStyle w:val="54"/>
                    <w:spacing w:line="240" w:lineRule="auto"/>
                    <w:rPr>
                      <w:b/>
                      <w:color w:val="auto"/>
                      <w:lang w:bidi="en-US"/>
                    </w:rPr>
                  </w:pPr>
                  <w:r>
                    <w:rPr>
                      <w:b/>
                      <w:color w:val="auto"/>
                      <w:lang w:bidi="en-US"/>
                    </w:rPr>
                    <w:t>100m</w:t>
                  </w:r>
                </w:p>
              </w:tc>
              <w:tc>
                <w:tcPr>
                  <w:tcW w:w="600" w:type="pct"/>
                  <w:vAlign w:val="center"/>
                </w:tcPr>
                <w:p>
                  <w:pPr>
                    <w:pStyle w:val="54"/>
                    <w:spacing w:line="240" w:lineRule="auto"/>
                    <w:rPr>
                      <w:b/>
                      <w:color w:val="auto"/>
                      <w:lang w:bidi="en-US"/>
                    </w:rPr>
                  </w:pPr>
                  <w:r>
                    <w:rPr>
                      <w:b/>
                      <w:color w:val="auto"/>
                      <w:lang w:bidi="en-US"/>
                    </w:rPr>
                    <w:t>150m</w:t>
                  </w:r>
                </w:p>
              </w:tc>
              <w:tc>
                <w:tcPr>
                  <w:tcW w:w="550" w:type="pct"/>
                  <w:vAlign w:val="center"/>
                </w:tcPr>
                <w:p>
                  <w:pPr>
                    <w:pStyle w:val="54"/>
                    <w:spacing w:line="240" w:lineRule="auto"/>
                    <w:rPr>
                      <w:b/>
                      <w:color w:val="auto"/>
                      <w:lang w:bidi="en-US"/>
                    </w:rPr>
                  </w:pPr>
                  <w:r>
                    <w:rPr>
                      <w:b/>
                      <w:color w:val="auto"/>
                      <w:lang w:bidi="en-US"/>
                    </w:rPr>
                    <w:t>200m</w:t>
                  </w:r>
                </w:p>
              </w:tc>
              <w:tc>
                <w:tcPr>
                  <w:tcW w:w="587" w:type="pct"/>
                  <w:vAlign w:val="center"/>
                </w:tcPr>
                <w:p>
                  <w:pPr>
                    <w:pStyle w:val="54"/>
                    <w:spacing w:line="240" w:lineRule="auto"/>
                    <w:rPr>
                      <w:b/>
                      <w:color w:val="auto"/>
                      <w:lang w:bidi="en-US"/>
                    </w:rPr>
                  </w:pPr>
                  <w:r>
                    <w:rPr>
                      <w:b/>
                      <w:color w:val="auto"/>
                      <w:lang w:bidi="en-US"/>
                    </w:rPr>
                    <w:t>250m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3" w:type="pct"/>
                  <w:vAlign w:val="center"/>
                </w:tcPr>
                <w:p>
                  <w:pPr>
                    <w:pStyle w:val="54"/>
                    <w:spacing w:line="240" w:lineRule="auto"/>
                    <w:rPr>
                      <w:color w:val="auto"/>
                      <w:lang w:bidi="en-US"/>
                    </w:rPr>
                  </w:pPr>
                  <w:r>
                    <w:rPr>
                      <w:color w:val="auto"/>
                      <w:lang w:bidi="en-US"/>
                    </w:rPr>
                    <w:t>1</w:t>
                  </w:r>
                </w:p>
              </w:tc>
              <w:tc>
                <w:tcPr>
                  <w:tcW w:w="1231" w:type="pct"/>
                  <w:vAlign w:val="center"/>
                </w:tcPr>
                <w:p>
                  <w:pPr>
                    <w:pStyle w:val="54"/>
                    <w:spacing w:line="240" w:lineRule="auto"/>
                    <w:rPr>
                      <w:color w:val="auto"/>
                    </w:rPr>
                  </w:pPr>
                  <w:r>
                    <w:rPr>
                      <w:color w:val="auto"/>
                    </w:rPr>
                    <w:t>装载机</w:t>
                  </w:r>
                </w:p>
              </w:tc>
              <w:tc>
                <w:tcPr>
                  <w:tcW w:w="566" w:type="pct"/>
                  <w:vAlign w:val="center"/>
                </w:tcPr>
                <w:p>
                  <w:pPr>
                    <w:pStyle w:val="54"/>
                    <w:spacing w:line="240" w:lineRule="auto"/>
                    <w:rPr>
                      <w:color w:val="auto"/>
                      <w:lang w:bidi="en-US"/>
                    </w:rPr>
                  </w:pPr>
                  <w:r>
                    <w:rPr>
                      <w:color w:val="auto"/>
                      <w:lang w:bidi="en-US"/>
                    </w:rPr>
                    <w:t>74.5</w:t>
                  </w:r>
                </w:p>
              </w:tc>
              <w:tc>
                <w:tcPr>
                  <w:tcW w:w="518" w:type="pct"/>
                  <w:vAlign w:val="center"/>
                </w:tcPr>
                <w:p>
                  <w:pPr>
                    <w:pStyle w:val="54"/>
                    <w:spacing w:line="240" w:lineRule="auto"/>
                    <w:rPr>
                      <w:color w:val="auto"/>
                      <w:lang w:bidi="en-US"/>
                    </w:rPr>
                  </w:pPr>
                  <w:r>
                    <w:rPr>
                      <w:color w:val="auto"/>
                      <w:lang w:bidi="en-US"/>
                    </w:rPr>
                    <w:t>61.6</w:t>
                  </w:r>
                </w:p>
              </w:tc>
              <w:tc>
                <w:tcPr>
                  <w:tcW w:w="550" w:type="pct"/>
                  <w:vAlign w:val="center"/>
                </w:tcPr>
                <w:p>
                  <w:pPr>
                    <w:pStyle w:val="54"/>
                    <w:spacing w:line="240" w:lineRule="auto"/>
                    <w:rPr>
                      <w:color w:val="auto"/>
                      <w:lang w:bidi="en-US"/>
                    </w:rPr>
                  </w:pPr>
                  <w:r>
                    <w:rPr>
                      <w:color w:val="auto"/>
                      <w:lang w:bidi="en-US"/>
                    </w:rPr>
                    <w:t>54.5</w:t>
                  </w:r>
                </w:p>
              </w:tc>
              <w:tc>
                <w:tcPr>
                  <w:tcW w:w="600" w:type="pct"/>
                  <w:vAlign w:val="center"/>
                </w:tcPr>
                <w:p>
                  <w:pPr>
                    <w:pStyle w:val="54"/>
                    <w:spacing w:line="240" w:lineRule="auto"/>
                    <w:rPr>
                      <w:color w:val="auto"/>
                      <w:lang w:bidi="en-US"/>
                    </w:rPr>
                  </w:pPr>
                  <w:r>
                    <w:rPr>
                      <w:color w:val="auto"/>
                      <w:lang w:bidi="en-US"/>
                    </w:rPr>
                    <w:t>51</w:t>
                  </w:r>
                </w:p>
              </w:tc>
              <w:tc>
                <w:tcPr>
                  <w:tcW w:w="550" w:type="pct"/>
                  <w:vAlign w:val="center"/>
                </w:tcPr>
                <w:p>
                  <w:pPr>
                    <w:pStyle w:val="54"/>
                    <w:spacing w:line="240" w:lineRule="auto"/>
                    <w:rPr>
                      <w:color w:val="auto"/>
                      <w:lang w:bidi="en-US"/>
                    </w:rPr>
                  </w:pPr>
                  <w:r>
                    <w:rPr>
                      <w:color w:val="auto"/>
                      <w:lang w:bidi="en-US"/>
                    </w:rPr>
                    <w:t>48.5</w:t>
                  </w:r>
                </w:p>
              </w:tc>
              <w:tc>
                <w:tcPr>
                  <w:tcW w:w="587" w:type="pct"/>
                  <w:vAlign w:val="center"/>
                </w:tcPr>
                <w:p>
                  <w:pPr>
                    <w:pStyle w:val="54"/>
                    <w:spacing w:line="240" w:lineRule="auto"/>
                    <w:rPr>
                      <w:color w:val="auto"/>
                      <w:lang w:bidi="en-US"/>
                    </w:rPr>
                  </w:pPr>
                  <w:r>
                    <w:rPr>
                      <w:color w:val="auto"/>
                      <w:lang w:bidi="en-US"/>
                    </w:rPr>
                    <w:t>46.6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3" w:type="pct"/>
                  <w:vAlign w:val="center"/>
                </w:tcPr>
                <w:p>
                  <w:pPr>
                    <w:pStyle w:val="54"/>
                    <w:spacing w:line="240" w:lineRule="auto"/>
                    <w:rPr>
                      <w:color w:val="auto"/>
                      <w:lang w:bidi="en-US"/>
                    </w:rPr>
                  </w:pPr>
                  <w:r>
                    <w:rPr>
                      <w:color w:val="auto"/>
                      <w:lang w:bidi="en-US"/>
                    </w:rPr>
                    <w:t>2</w:t>
                  </w:r>
                </w:p>
              </w:tc>
              <w:tc>
                <w:tcPr>
                  <w:tcW w:w="1231" w:type="pct"/>
                  <w:vAlign w:val="center"/>
                </w:tcPr>
                <w:p>
                  <w:pPr>
                    <w:pStyle w:val="54"/>
                    <w:spacing w:line="240" w:lineRule="auto"/>
                    <w:rPr>
                      <w:color w:val="auto"/>
                    </w:rPr>
                  </w:pPr>
                  <w:r>
                    <w:rPr>
                      <w:color w:val="auto"/>
                    </w:rPr>
                    <w:t>自卸汽车</w:t>
                  </w:r>
                </w:p>
              </w:tc>
              <w:tc>
                <w:tcPr>
                  <w:tcW w:w="566" w:type="pct"/>
                  <w:vAlign w:val="center"/>
                </w:tcPr>
                <w:p>
                  <w:pPr>
                    <w:pStyle w:val="54"/>
                    <w:spacing w:line="240" w:lineRule="auto"/>
                    <w:rPr>
                      <w:color w:val="auto"/>
                    </w:rPr>
                  </w:pPr>
                  <w:r>
                    <w:rPr>
                      <w:color w:val="auto"/>
                    </w:rPr>
                    <w:t>69.5</w:t>
                  </w:r>
                </w:p>
              </w:tc>
              <w:tc>
                <w:tcPr>
                  <w:tcW w:w="518" w:type="pct"/>
                  <w:vAlign w:val="center"/>
                </w:tcPr>
                <w:p>
                  <w:pPr>
                    <w:pStyle w:val="54"/>
                    <w:spacing w:line="240" w:lineRule="auto"/>
                    <w:rPr>
                      <w:color w:val="auto"/>
                    </w:rPr>
                  </w:pPr>
                  <w:r>
                    <w:rPr>
                      <w:color w:val="auto"/>
                    </w:rPr>
                    <w:t>56.6</w:t>
                  </w:r>
                </w:p>
              </w:tc>
              <w:tc>
                <w:tcPr>
                  <w:tcW w:w="550" w:type="pct"/>
                  <w:vAlign w:val="center"/>
                </w:tcPr>
                <w:p>
                  <w:pPr>
                    <w:pStyle w:val="54"/>
                    <w:spacing w:line="240" w:lineRule="auto"/>
                    <w:rPr>
                      <w:color w:val="auto"/>
                    </w:rPr>
                  </w:pPr>
                  <w:r>
                    <w:rPr>
                      <w:color w:val="auto"/>
                    </w:rPr>
                    <w:t>49.5</w:t>
                  </w:r>
                </w:p>
              </w:tc>
              <w:tc>
                <w:tcPr>
                  <w:tcW w:w="600" w:type="pct"/>
                  <w:vAlign w:val="center"/>
                </w:tcPr>
                <w:p>
                  <w:pPr>
                    <w:pStyle w:val="54"/>
                    <w:spacing w:line="240" w:lineRule="auto"/>
                    <w:rPr>
                      <w:color w:val="auto"/>
                    </w:rPr>
                  </w:pPr>
                  <w:r>
                    <w:rPr>
                      <w:color w:val="auto"/>
                    </w:rPr>
                    <w:t>46</w:t>
                  </w:r>
                </w:p>
              </w:tc>
              <w:tc>
                <w:tcPr>
                  <w:tcW w:w="550" w:type="pct"/>
                  <w:vAlign w:val="center"/>
                </w:tcPr>
                <w:p>
                  <w:pPr>
                    <w:pStyle w:val="54"/>
                    <w:spacing w:line="240" w:lineRule="auto"/>
                    <w:rPr>
                      <w:color w:val="auto"/>
                    </w:rPr>
                  </w:pPr>
                  <w:r>
                    <w:rPr>
                      <w:color w:val="auto"/>
                    </w:rPr>
                    <w:t>43.5</w:t>
                  </w:r>
                </w:p>
              </w:tc>
              <w:tc>
                <w:tcPr>
                  <w:tcW w:w="587" w:type="pct"/>
                  <w:vAlign w:val="center"/>
                </w:tcPr>
                <w:p>
                  <w:pPr>
                    <w:pStyle w:val="54"/>
                    <w:spacing w:line="240" w:lineRule="auto"/>
                    <w:rPr>
                      <w:color w:val="auto"/>
                    </w:rPr>
                  </w:pPr>
                  <w:r>
                    <w:rPr>
                      <w:color w:val="auto"/>
                    </w:rPr>
                    <w:t>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3" w:type="pct"/>
                  <w:vAlign w:val="center"/>
                </w:tcPr>
                <w:p>
                  <w:pPr>
                    <w:pStyle w:val="54"/>
                    <w:spacing w:line="240" w:lineRule="auto"/>
                    <w:rPr>
                      <w:color w:val="auto"/>
                      <w:lang w:bidi="en-US"/>
                    </w:rPr>
                  </w:pPr>
                  <w:r>
                    <w:rPr>
                      <w:color w:val="auto"/>
                      <w:lang w:bidi="en-US"/>
                    </w:rPr>
                    <w:t>3</w:t>
                  </w:r>
                </w:p>
              </w:tc>
              <w:tc>
                <w:tcPr>
                  <w:tcW w:w="1231" w:type="pct"/>
                  <w:vAlign w:val="center"/>
                </w:tcPr>
                <w:p>
                  <w:pPr>
                    <w:pStyle w:val="54"/>
                    <w:spacing w:line="240" w:lineRule="auto"/>
                    <w:rPr>
                      <w:color w:val="auto"/>
                    </w:rPr>
                  </w:pPr>
                  <w:r>
                    <w:rPr>
                      <w:color w:val="auto"/>
                    </w:rPr>
                    <w:t>推土机</w:t>
                  </w:r>
                </w:p>
              </w:tc>
              <w:tc>
                <w:tcPr>
                  <w:tcW w:w="566" w:type="pct"/>
                  <w:vAlign w:val="center"/>
                </w:tcPr>
                <w:p>
                  <w:pPr>
                    <w:pStyle w:val="54"/>
                    <w:spacing w:line="240" w:lineRule="auto"/>
                    <w:rPr>
                      <w:color w:val="auto"/>
                      <w:lang w:bidi="en-US"/>
                    </w:rPr>
                  </w:pPr>
                  <w:r>
                    <w:rPr>
                      <w:color w:val="auto"/>
                      <w:lang w:bidi="en-US"/>
                    </w:rPr>
                    <w:t>74.5</w:t>
                  </w:r>
                </w:p>
              </w:tc>
              <w:tc>
                <w:tcPr>
                  <w:tcW w:w="518" w:type="pct"/>
                  <w:vAlign w:val="center"/>
                </w:tcPr>
                <w:p>
                  <w:pPr>
                    <w:pStyle w:val="54"/>
                    <w:spacing w:line="240" w:lineRule="auto"/>
                    <w:rPr>
                      <w:color w:val="auto"/>
                      <w:lang w:bidi="en-US"/>
                    </w:rPr>
                  </w:pPr>
                  <w:r>
                    <w:rPr>
                      <w:color w:val="auto"/>
                      <w:lang w:bidi="en-US"/>
                    </w:rPr>
                    <w:t>61.6</w:t>
                  </w:r>
                </w:p>
              </w:tc>
              <w:tc>
                <w:tcPr>
                  <w:tcW w:w="550" w:type="pct"/>
                  <w:vAlign w:val="center"/>
                </w:tcPr>
                <w:p>
                  <w:pPr>
                    <w:pStyle w:val="54"/>
                    <w:spacing w:line="240" w:lineRule="auto"/>
                    <w:rPr>
                      <w:color w:val="auto"/>
                      <w:lang w:bidi="en-US"/>
                    </w:rPr>
                  </w:pPr>
                  <w:r>
                    <w:rPr>
                      <w:color w:val="auto"/>
                      <w:lang w:bidi="en-US"/>
                    </w:rPr>
                    <w:t>54.5</w:t>
                  </w:r>
                </w:p>
              </w:tc>
              <w:tc>
                <w:tcPr>
                  <w:tcW w:w="600" w:type="pct"/>
                  <w:vAlign w:val="center"/>
                </w:tcPr>
                <w:p>
                  <w:pPr>
                    <w:pStyle w:val="54"/>
                    <w:spacing w:line="240" w:lineRule="auto"/>
                    <w:rPr>
                      <w:color w:val="auto"/>
                      <w:lang w:bidi="en-US"/>
                    </w:rPr>
                  </w:pPr>
                  <w:r>
                    <w:rPr>
                      <w:color w:val="auto"/>
                      <w:lang w:bidi="en-US"/>
                    </w:rPr>
                    <w:t>51</w:t>
                  </w:r>
                </w:p>
              </w:tc>
              <w:tc>
                <w:tcPr>
                  <w:tcW w:w="550" w:type="pct"/>
                  <w:vAlign w:val="center"/>
                </w:tcPr>
                <w:p>
                  <w:pPr>
                    <w:pStyle w:val="54"/>
                    <w:spacing w:line="240" w:lineRule="auto"/>
                    <w:rPr>
                      <w:color w:val="auto"/>
                      <w:lang w:bidi="en-US"/>
                    </w:rPr>
                  </w:pPr>
                  <w:r>
                    <w:rPr>
                      <w:color w:val="auto"/>
                      <w:lang w:bidi="en-US"/>
                    </w:rPr>
                    <w:t>48.5</w:t>
                  </w:r>
                </w:p>
              </w:tc>
              <w:tc>
                <w:tcPr>
                  <w:tcW w:w="587" w:type="pct"/>
                  <w:vAlign w:val="center"/>
                </w:tcPr>
                <w:p>
                  <w:pPr>
                    <w:pStyle w:val="54"/>
                    <w:spacing w:line="240" w:lineRule="auto"/>
                    <w:rPr>
                      <w:color w:val="auto"/>
                      <w:lang w:bidi="en-US"/>
                    </w:rPr>
                  </w:pPr>
                  <w:r>
                    <w:rPr>
                      <w:color w:val="auto"/>
                      <w:lang w:bidi="en-US"/>
                    </w:rPr>
                    <w:t>46.6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3" w:type="pct"/>
                  <w:vAlign w:val="center"/>
                </w:tcPr>
                <w:p>
                  <w:pPr>
                    <w:pStyle w:val="54"/>
                    <w:spacing w:line="240" w:lineRule="auto"/>
                    <w:rPr>
                      <w:color w:val="auto"/>
                      <w:lang w:bidi="en-US"/>
                    </w:rPr>
                  </w:pPr>
                  <w:r>
                    <w:rPr>
                      <w:color w:val="auto"/>
                      <w:lang w:bidi="en-US"/>
                    </w:rPr>
                    <w:t>4</w:t>
                  </w:r>
                </w:p>
              </w:tc>
              <w:tc>
                <w:tcPr>
                  <w:tcW w:w="1231" w:type="pct"/>
                  <w:vAlign w:val="center"/>
                </w:tcPr>
                <w:p>
                  <w:pPr>
                    <w:pStyle w:val="54"/>
                    <w:spacing w:line="240" w:lineRule="auto"/>
                    <w:rPr>
                      <w:color w:val="auto"/>
                    </w:rPr>
                  </w:pPr>
                  <w:r>
                    <w:rPr>
                      <w:color w:val="auto"/>
                    </w:rPr>
                    <w:t>挖掘机</w:t>
                  </w:r>
                </w:p>
              </w:tc>
              <w:tc>
                <w:tcPr>
                  <w:tcW w:w="566" w:type="pct"/>
                  <w:vAlign w:val="center"/>
                </w:tcPr>
                <w:p>
                  <w:pPr>
                    <w:pStyle w:val="54"/>
                    <w:spacing w:line="240" w:lineRule="auto"/>
                    <w:rPr>
                      <w:color w:val="auto"/>
                    </w:rPr>
                  </w:pPr>
                  <w:r>
                    <w:rPr>
                      <w:color w:val="auto"/>
                    </w:rPr>
                    <w:t>76.5</w:t>
                  </w:r>
                </w:p>
              </w:tc>
              <w:tc>
                <w:tcPr>
                  <w:tcW w:w="518" w:type="pct"/>
                  <w:vAlign w:val="center"/>
                </w:tcPr>
                <w:p>
                  <w:pPr>
                    <w:pStyle w:val="54"/>
                    <w:spacing w:line="240" w:lineRule="auto"/>
                    <w:rPr>
                      <w:color w:val="auto"/>
                    </w:rPr>
                  </w:pPr>
                  <w:r>
                    <w:rPr>
                      <w:color w:val="auto"/>
                    </w:rPr>
                    <w:t>63.6</w:t>
                  </w:r>
                </w:p>
              </w:tc>
              <w:tc>
                <w:tcPr>
                  <w:tcW w:w="550" w:type="pct"/>
                  <w:vAlign w:val="center"/>
                </w:tcPr>
                <w:p>
                  <w:pPr>
                    <w:pStyle w:val="54"/>
                    <w:spacing w:line="240" w:lineRule="auto"/>
                    <w:rPr>
                      <w:color w:val="auto"/>
                    </w:rPr>
                  </w:pPr>
                  <w:r>
                    <w:rPr>
                      <w:color w:val="auto"/>
                    </w:rPr>
                    <w:t>56.5</w:t>
                  </w:r>
                </w:p>
              </w:tc>
              <w:tc>
                <w:tcPr>
                  <w:tcW w:w="600" w:type="pct"/>
                  <w:vAlign w:val="center"/>
                </w:tcPr>
                <w:p>
                  <w:pPr>
                    <w:pStyle w:val="54"/>
                    <w:spacing w:line="240" w:lineRule="auto"/>
                    <w:rPr>
                      <w:color w:val="auto"/>
                    </w:rPr>
                  </w:pPr>
                  <w:r>
                    <w:rPr>
                      <w:color w:val="auto"/>
                    </w:rPr>
                    <w:t>53</w:t>
                  </w:r>
                </w:p>
              </w:tc>
              <w:tc>
                <w:tcPr>
                  <w:tcW w:w="550" w:type="pct"/>
                  <w:vAlign w:val="center"/>
                </w:tcPr>
                <w:p>
                  <w:pPr>
                    <w:pStyle w:val="54"/>
                    <w:spacing w:line="240" w:lineRule="auto"/>
                    <w:rPr>
                      <w:color w:val="auto"/>
                    </w:rPr>
                  </w:pPr>
                  <w:r>
                    <w:rPr>
                      <w:color w:val="auto"/>
                    </w:rPr>
                    <w:t>50.5</w:t>
                  </w:r>
                </w:p>
              </w:tc>
              <w:tc>
                <w:tcPr>
                  <w:tcW w:w="587" w:type="pct"/>
                  <w:vAlign w:val="center"/>
                </w:tcPr>
                <w:p>
                  <w:pPr>
                    <w:pStyle w:val="54"/>
                    <w:spacing w:line="240" w:lineRule="auto"/>
                    <w:rPr>
                      <w:color w:val="auto"/>
                    </w:rPr>
                  </w:pPr>
                  <w:r>
                    <w:rPr>
                      <w:color w:val="auto"/>
                    </w:rPr>
                    <w:t>48.6</w:t>
                  </w:r>
                </w:p>
              </w:tc>
            </w:tr>
          </w:tbl>
          <w:p>
            <w:pPr>
              <w:spacing w:line="360" w:lineRule="auto"/>
              <w:ind w:firstLine="480" w:firstLineChars="200"/>
              <w:rPr>
                <w:color w:val="auto"/>
                <w:sz w:val="24"/>
              </w:rPr>
            </w:pPr>
            <w:r>
              <w:rPr>
                <w:color w:val="auto"/>
                <w:sz w:val="24"/>
              </w:rPr>
              <w:t>本项目施工期昼间施工，夜间不施工。由上表可以看出，昼间施工时，距施工场界100m时可满足《声环境质量标准》（GB3096－2008）的2类标准（60dB(A)）。但在施工过程中，这些施工机械往往是同时作业，噪声源辐射量的相互叠加，叠加后声级值较高，辐射范围影响较大。由于建设过程采用露天作业方式，难以采取降噪措施，噪声影响范围较远。</w:t>
            </w:r>
          </w:p>
          <w:p>
            <w:pPr>
              <w:spacing w:line="360" w:lineRule="auto"/>
              <w:ind w:firstLine="480" w:firstLineChars="200"/>
              <w:rPr>
                <w:color w:val="auto"/>
                <w:sz w:val="24"/>
              </w:rPr>
            </w:pPr>
            <w:r>
              <w:rPr>
                <w:color w:val="auto"/>
                <w:sz w:val="24"/>
              </w:rPr>
              <w:t>本项目施工区域边界</w:t>
            </w:r>
            <w:r>
              <w:rPr>
                <w:rFonts w:hint="eastAsia"/>
                <w:color w:val="auto"/>
                <w:sz w:val="24"/>
                <w:lang w:val="en-US" w:eastAsia="zh-CN"/>
              </w:rPr>
              <w:t>2</w:t>
            </w:r>
            <w:r>
              <w:rPr>
                <w:color w:val="auto"/>
                <w:sz w:val="24"/>
              </w:rPr>
              <w:t>00m范围内存在少量的居民分布，因此为最大程度减轻项目施工对区域声环境的影响，环评提出以下噪声防治措施：</w:t>
            </w:r>
          </w:p>
          <w:p>
            <w:pPr>
              <w:spacing w:line="360" w:lineRule="auto"/>
              <w:ind w:firstLine="480" w:firstLineChars="200"/>
              <w:rPr>
                <w:color w:val="auto"/>
                <w:sz w:val="24"/>
              </w:rPr>
            </w:pPr>
            <w:r>
              <w:rPr>
                <w:color w:val="auto"/>
                <w:sz w:val="24"/>
              </w:rPr>
              <w:t>（1）优先选用低噪声的施工设备，对动力机械设备和运输车辆进行定期的维修和养护；</w:t>
            </w:r>
          </w:p>
          <w:p>
            <w:pPr>
              <w:spacing w:line="360" w:lineRule="auto"/>
              <w:ind w:firstLine="480" w:firstLineChars="200"/>
              <w:rPr>
                <w:color w:val="auto"/>
                <w:sz w:val="24"/>
              </w:rPr>
            </w:pPr>
            <w:r>
              <w:rPr>
                <w:color w:val="auto"/>
                <w:sz w:val="24"/>
              </w:rPr>
              <w:t>（2）合理布局，高噪声设备尽量布置在施工区域中部，远离周边居民敏感点；</w:t>
            </w:r>
          </w:p>
          <w:p>
            <w:pPr>
              <w:spacing w:line="360" w:lineRule="auto"/>
              <w:ind w:firstLine="480" w:firstLineChars="200"/>
              <w:rPr>
                <w:color w:val="auto"/>
                <w:sz w:val="24"/>
              </w:rPr>
            </w:pPr>
            <w:r>
              <w:rPr>
                <w:color w:val="auto"/>
                <w:sz w:val="24"/>
              </w:rPr>
              <w:t>（3）合理安排运输路线和运输时间，夜间禁止运输；</w:t>
            </w:r>
          </w:p>
          <w:p>
            <w:pPr>
              <w:spacing w:line="360" w:lineRule="auto"/>
              <w:ind w:firstLine="480" w:firstLineChars="200"/>
              <w:rPr>
                <w:color w:val="auto"/>
                <w:sz w:val="24"/>
              </w:rPr>
            </w:pPr>
            <w:r>
              <w:rPr>
                <w:color w:val="auto"/>
                <w:sz w:val="24"/>
              </w:rPr>
              <w:t>（4）加强施工管理，合理安排作业时间，不在夜间施工，高噪声设备错峰作业，避免同时作业；</w:t>
            </w:r>
          </w:p>
          <w:p>
            <w:pPr>
              <w:spacing w:line="360" w:lineRule="auto"/>
              <w:ind w:firstLine="480" w:firstLineChars="200"/>
              <w:rPr>
                <w:color w:val="auto"/>
                <w:sz w:val="24"/>
              </w:rPr>
            </w:pPr>
            <w:r>
              <w:rPr>
                <w:color w:val="auto"/>
                <w:sz w:val="24"/>
              </w:rPr>
              <w:t>（5）合理布局施工场地，避免在同一地点安装大量动力机械设备，以避免局部声级过高。</w:t>
            </w:r>
          </w:p>
          <w:p>
            <w:pPr>
              <w:spacing w:line="360" w:lineRule="auto"/>
              <w:ind w:firstLine="480" w:firstLineChars="200"/>
              <w:rPr>
                <w:color w:val="auto"/>
                <w:sz w:val="24"/>
              </w:rPr>
            </w:pPr>
            <w:r>
              <w:rPr>
                <w:color w:val="auto"/>
                <w:sz w:val="24"/>
              </w:rPr>
              <w:t>（6）材料运输等汽车进场安排专人指挥，场内禁止运输车辆鸣笛。</w:t>
            </w:r>
          </w:p>
          <w:p>
            <w:pPr>
              <w:spacing w:line="360" w:lineRule="auto"/>
              <w:ind w:firstLine="480" w:firstLineChars="200"/>
              <w:rPr>
                <w:color w:val="auto"/>
                <w:sz w:val="24"/>
              </w:rPr>
            </w:pPr>
            <w:r>
              <w:rPr>
                <w:color w:val="auto"/>
                <w:sz w:val="24"/>
              </w:rPr>
              <w:t>（7）机械设备和运输车辆在进场前应完成大修及保养，同时定期进行检修和保养，以降低机械和车辆的非正常噪声。</w:t>
            </w:r>
          </w:p>
          <w:p>
            <w:pPr>
              <w:spacing w:line="360" w:lineRule="auto"/>
              <w:ind w:firstLine="480" w:firstLineChars="200"/>
              <w:rPr>
                <w:color w:val="auto"/>
                <w:sz w:val="24"/>
              </w:rPr>
            </w:pPr>
            <w:r>
              <w:rPr>
                <w:color w:val="auto"/>
                <w:sz w:val="24"/>
              </w:rPr>
              <w:t>（8）优化施工车辆运行路线，尽量避开人群集聚区域；对于无法避开的人口聚集区域，则要求运输时间点避开出行高峰期，途经路段附近有城镇居民点路段，应减速慢行、禁止鸣笛，避免因施工物流运输对周边城镇的环境带来影响。</w:t>
            </w:r>
          </w:p>
          <w:p>
            <w:pPr>
              <w:spacing w:line="360" w:lineRule="auto"/>
              <w:ind w:firstLine="480" w:firstLineChars="200"/>
              <w:rPr>
                <w:color w:val="auto"/>
                <w:sz w:val="24"/>
              </w:rPr>
            </w:pPr>
            <w:r>
              <w:rPr>
                <w:rFonts w:hint="eastAsia"/>
                <w:color w:val="auto"/>
                <w:sz w:val="24"/>
                <w:lang w:val="en-US" w:eastAsia="zh-CN"/>
              </w:rPr>
              <w:t>本项目施工期已基本结束，施工单位严格按照上述要求实施了噪声防治措施</w:t>
            </w:r>
            <w:r>
              <w:rPr>
                <w:color w:val="auto"/>
                <w:sz w:val="24"/>
              </w:rPr>
              <w:t>，施工噪声</w:t>
            </w:r>
            <w:r>
              <w:rPr>
                <w:rFonts w:hint="eastAsia"/>
                <w:color w:val="auto"/>
                <w:sz w:val="24"/>
                <w:lang w:val="en-US" w:eastAsia="zh-CN"/>
              </w:rPr>
              <w:t>对周边</w:t>
            </w:r>
            <w:r>
              <w:rPr>
                <w:color w:val="auto"/>
                <w:sz w:val="24"/>
              </w:rPr>
              <w:t>声环境敏感点的影响降到最低</w:t>
            </w:r>
            <w:r>
              <w:rPr>
                <w:rFonts w:hint="eastAsia"/>
                <w:color w:val="auto"/>
                <w:sz w:val="24"/>
                <w:lang w:eastAsia="zh-CN"/>
              </w:rPr>
              <w:t>，</w:t>
            </w:r>
            <w:r>
              <w:rPr>
                <w:rFonts w:hint="eastAsia"/>
                <w:color w:val="auto"/>
                <w:sz w:val="24"/>
                <w:lang w:val="en-US" w:eastAsia="zh-CN"/>
              </w:rPr>
              <w:t>施工过程未受到周边居民投诉</w:t>
            </w:r>
            <w:r>
              <w:rPr>
                <w:color w:val="auto"/>
                <w:sz w:val="24"/>
              </w:rPr>
              <w:t>。</w:t>
            </w:r>
          </w:p>
          <w:p>
            <w:pPr>
              <w:adjustRightInd w:val="0"/>
              <w:snapToGrid w:val="0"/>
              <w:spacing w:line="360" w:lineRule="auto"/>
              <w:rPr>
                <w:b/>
                <w:color w:val="auto"/>
                <w:spacing w:val="-10"/>
                <w:sz w:val="24"/>
              </w:rPr>
            </w:pPr>
            <w:r>
              <w:rPr>
                <w:b/>
                <w:color w:val="auto"/>
                <w:spacing w:val="-10"/>
                <w:sz w:val="24"/>
              </w:rPr>
              <w:t>五、施工期固体废物环境保护措施</w:t>
            </w:r>
          </w:p>
          <w:p>
            <w:pPr>
              <w:spacing w:line="360" w:lineRule="auto"/>
              <w:ind w:firstLine="482" w:firstLineChars="200"/>
              <w:rPr>
                <w:b/>
                <w:bCs/>
                <w:color w:val="auto"/>
                <w:sz w:val="24"/>
              </w:rPr>
            </w:pPr>
            <w:r>
              <w:rPr>
                <w:b/>
                <w:bCs/>
                <w:color w:val="auto"/>
                <w:sz w:val="24"/>
              </w:rPr>
              <w:t>1、废土石方</w:t>
            </w:r>
          </w:p>
          <w:p>
            <w:pPr>
              <w:adjustRightInd w:val="0"/>
              <w:snapToGrid w:val="0"/>
              <w:spacing w:line="360" w:lineRule="auto"/>
              <w:ind w:firstLine="480" w:firstLineChars="200"/>
              <w:rPr>
                <w:rStyle w:val="43"/>
                <w:color w:val="auto"/>
                <w:kern w:val="0"/>
                <w:sz w:val="24"/>
              </w:rPr>
            </w:pPr>
            <w:r>
              <w:rPr>
                <w:rStyle w:val="43"/>
                <w:color w:val="auto"/>
                <w:kern w:val="0"/>
                <w:sz w:val="24"/>
              </w:rPr>
              <w:t>本次工程清淤疏浚料共20.31万m³，绝大部分为砂卵石料，根据地勘资料可知，可作为堤身、堤后填筑料，本次利用16.73万m³，余下3.58万m³作为堤后低洼处回填。</w:t>
            </w:r>
          </w:p>
          <w:p>
            <w:pPr>
              <w:adjustRightInd w:val="0"/>
              <w:snapToGrid w:val="0"/>
              <w:spacing w:line="360" w:lineRule="auto"/>
              <w:ind w:firstLine="480" w:firstLineChars="200"/>
              <w:rPr>
                <w:rStyle w:val="43"/>
                <w:color w:val="auto"/>
                <w:kern w:val="0"/>
                <w:sz w:val="24"/>
              </w:rPr>
            </w:pPr>
            <w:r>
              <w:rPr>
                <w:rStyle w:val="43"/>
                <w:color w:val="auto"/>
                <w:kern w:val="0"/>
                <w:sz w:val="24"/>
              </w:rPr>
              <w:t>本工程土方开挖4.33万m³，护坡植草利用1.31万m³，余下3.02万m³作为堤后低洼处回填利用。砂砾石开挖12.68万m³，全部可用作堤身填筑料。</w:t>
            </w:r>
          </w:p>
          <w:p>
            <w:pPr>
              <w:adjustRightInd w:val="0"/>
              <w:snapToGrid w:val="0"/>
              <w:spacing w:line="360" w:lineRule="auto"/>
              <w:ind w:firstLine="480" w:firstLineChars="200"/>
              <w:rPr>
                <w:color w:val="auto"/>
                <w:sz w:val="24"/>
              </w:rPr>
            </w:pPr>
            <w:r>
              <w:rPr>
                <w:rStyle w:val="43"/>
                <w:color w:val="auto"/>
                <w:kern w:val="0"/>
                <w:sz w:val="24"/>
              </w:rPr>
              <w:t>堤身及堤基砂卵石料回填总需用量30.72m³，基础开挖料利用13.99m³，清淤疏浚利用16.73m³。</w:t>
            </w:r>
          </w:p>
          <w:p>
            <w:pPr>
              <w:spacing w:line="360" w:lineRule="auto"/>
              <w:ind w:firstLine="480" w:firstLineChars="200"/>
              <w:rPr>
                <w:color w:val="auto"/>
                <w:sz w:val="24"/>
              </w:rPr>
            </w:pPr>
            <w:r>
              <w:rPr>
                <w:rFonts w:hint="default" w:ascii="Times New Roman" w:hAnsi="Times New Roman" w:cs="Times New Roman"/>
                <w:color w:val="auto"/>
                <w:sz w:val="24"/>
              </w:rPr>
              <w:t>施工产生的</w:t>
            </w:r>
            <w:r>
              <w:rPr>
                <w:rFonts w:hint="default" w:ascii="Times New Roman" w:hAnsi="Times New Roman" w:cs="Times New Roman"/>
                <w:color w:val="auto"/>
                <w:sz w:val="24"/>
                <w:lang w:val="en-US" w:eastAsia="zh-CN"/>
              </w:rPr>
              <w:t>余方</w:t>
            </w:r>
            <w:r>
              <w:rPr>
                <w:rFonts w:hint="default" w:ascii="Times New Roman" w:hAnsi="Times New Roman" w:cs="Times New Roman"/>
                <w:color w:val="auto"/>
                <w:sz w:val="24"/>
              </w:rPr>
              <w:t>用于</w:t>
            </w:r>
            <w:r>
              <w:rPr>
                <w:rFonts w:hint="default" w:ascii="Times New Roman" w:hAnsi="Times New Roman" w:cs="Times New Roman"/>
                <w:color w:val="auto"/>
                <w:sz w:val="24"/>
                <w:lang w:val="en-US" w:eastAsia="zh-CN"/>
              </w:rPr>
              <w:t>部分堤防</w:t>
            </w:r>
            <w:r>
              <w:rPr>
                <w:rFonts w:hint="default" w:ascii="Times New Roman" w:hAnsi="Times New Roman" w:cs="Times New Roman"/>
                <w:color w:val="auto"/>
                <w:sz w:val="24"/>
              </w:rPr>
              <w:t>堤后</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堤后3m内</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低洼处</w:t>
            </w:r>
            <w:r>
              <w:rPr>
                <w:rFonts w:hint="default" w:ascii="Times New Roman" w:hAnsi="Times New Roman" w:cs="Times New Roman"/>
                <w:color w:val="auto"/>
                <w:sz w:val="24"/>
              </w:rPr>
              <w:t>回填</w:t>
            </w:r>
            <w:r>
              <w:rPr>
                <w:color w:val="auto"/>
                <w:sz w:val="24"/>
              </w:rPr>
              <w:t>。</w:t>
            </w:r>
          </w:p>
          <w:p>
            <w:pPr>
              <w:spacing w:line="360" w:lineRule="auto"/>
              <w:ind w:firstLine="482" w:firstLineChars="200"/>
              <w:rPr>
                <w:b/>
                <w:bCs/>
                <w:color w:val="auto"/>
                <w:sz w:val="24"/>
              </w:rPr>
            </w:pPr>
            <w:r>
              <w:rPr>
                <w:b/>
                <w:bCs/>
                <w:color w:val="auto"/>
                <w:sz w:val="24"/>
              </w:rPr>
              <w:t>2、建筑垃圾</w:t>
            </w:r>
          </w:p>
          <w:p>
            <w:pPr>
              <w:spacing w:line="360" w:lineRule="auto"/>
              <w:ind w:firstLine="482" w:firstLineChars="200"/>
              <w:rPr>
                <w:color w:val="auto"/>
                <w:sz w:val="24"/>
              </w:rPr>
            </w:pPr>
            <w:r>
              <w:rPr>
                <w:b/>
                <w:bCs/>
                <w:color w:val="auto"/>
                <w:sz w:val="24"/>
              </w:rPr>
              <w:t>产生量：</w:t>
            </w:r>
            <w:r>
              <w:rPr>
                <w:color w:val="auto"/>
                <w:sz w:val="24"/>
              </w:rPr>
              <w:t>堤防工程建设时会产生部分建筑垃圾，主要有各种废钢配件，各种材料的包装箱、包装袋等、散落的砂浆和混凝土，碎砖和碎混凝土块，产生量约1t/a。</w:t>
            </w:r>
          </w:p>
          <w:p>
            <w:pPr>
              <w:spacing w:line="360" w:lineRule="auto"/>
              <w:ind w:firstLine="482" w:firstLineChars="200"/>
              <w:rPr>
                <w:color w:val="auto"/>
                <w:sz w:val="24"/>
              </w:rPr>
            </w:pPr>
            <w:r>
              <w:rPr>
                <w:b/>
                <w:bCs/>
                <w:color w:val="auto"/>
                <w:sz w:val="24"/>
              </w:rPr>
              <w:t>治理措施：</w:t>
            </w:r>
            <w:r>
              <w:rPr>
                <w:color w:val="auto"/>
                <w:sz w:val="24"/>
              </w:rPr>
              <w:t>在设计阶段未提出建筑垃圾处理方式，本环评要求业主将在建设过程中产生的建筑垃圾分类收集，能回用的回用，不能回用的集中清运至指定的地点处理。</w:t>
            </w:r>
          </w:p>
          <w:p>
            <w:pPr>
              <w:spacing w:line="360" w:lineRule="auto"/>
              <w:ind w:firstLine="482" w:firstLineChars="200"/>
              <w:rPr>
                <w:b/>
                <w:bCs/>
                <w:color w:val="auto"/>
                <w:sz w:val="24"/>
              </w:rPr>
            </w:pPr>
            <w:r>
              <w:rPr>
                <w:b/>
                <w:bCs/>
                <w:color w:val="auto"/>
                <w:sz w:val="24"/>
              </w:rPr>
              <w:t>3、生活垃圾</w:t>
            </w:r>
          </w:p>
          <w:p>
            <w:pPr>
              <w:spacing w:line="360" w:lineRule="auto"/>
              <w:ind w:firstLine="482" w:firstLineChars="200"/>
              <w:rPr>
                <w:color w:val="auto"/>
                <w:sz w:val="24"/>
              </w:rPr>
            </w:pPr>
            <w:r>
              <w:rPr>
                <w:b/>
                <w:bCs/>
                <w:color w:val="auto"/>
                <w:sz w:val="24"/>
              </w:rPr>
              <w:t>产生量：</w:t>
            </w:r>
            <w:r>
              <w:rPr>
                <w:color w:val="auto"/>
                <w:sz w:val="24"/>
              </w:rPr>
              <w:t>本项目高峰期施工人员60人，工程平均施工人数36人，每人产生生活垃圾量为0.5kg/d，每天产生的垃圾量为18kg/d。</w:t>
            </w:r>
          </w:p>
          <w:p>
            <w:pPr>
              <w:spacing w:line="360" w:lineRule="auto"/>
              <w:ind w:firstLine="482" w:firstLineChars="200"/>
              <w:rPr>
                <w:rFonts w:hint="eastAsia"/>
                <w:color w:val="auto"/>
                <w:sz w:val="24"/>
                <w:lang w:eastAsia="zh-CN"/>
              </w:rPr>
            </w:pPr>
            <w:r>
              <w:rPr>
                <w:b/>
                <w:bCs/>
                <w:color w:val="auto"/>
                <w:sz w:val="24"/>
              </w:rPr>
              <w:t>治理措施：</w:t>
            </w:r>
            <w:r>
              <w:rPr>
                <w:color w:val="auto"/>
                <w:sz w:val="24"/>
              </w:rPr>
              <w:t>生活垃圾经过袋装收集后，统一收集至河堤沿线各个村垃圾收集点，由环卫部门统一清运处理，严禁就地填埋</w:t>
            </w:r>
            <w:r>
              <w:rPr>
                <w:rFonts w:hint="eastAsia"/>
                <w:color w:val="auto"/>
                <w:sz w:val="24"/>
                <w:lang w:eastAsia="zh-CN"/>
              </w:rPr>
              <w:t>。</w:t>
            </w:r>
          </w:p>
          <w:p>
            <w:pPr>
              <w:spacing w:line="360" w:lineRule="auto"/>
              <w:rPr>
                <w:rFonts w:hint="default"/>
                <w:b/>
                <w:bCs/>
                <w:color w:val="auto"/>
                <w:sz w:val="24"/>
                <w:lang w:val="en-US" w:eastAsia="zh-CN"/>
              </w:rPr>
            </w:pPr>
            <w:r>
              <w:rPr>
                <w:rFonts w:hint="eastAsia"/>
                <w:b/>
                <w:bCs/>
                <w:color w:val="auto"/>
                <w:sz w:val="24"/>
                <w:lang w:val="en-US" w:eastAsia="zh-CN"/>
              </w:rPr>
              <w:t>六、施工期环境风险影响评价</w:t>
            </w:r>
          </w:p>
          <w:p>
            <w:pPr>
              <w:spacing w:line="360" w:lineRule="auto"/>
              <w:ind w:firstLine="480" w:firstLineChars="200"/>
              <w:rPr>
                <w:rFonts w:hint="eastAsia"/>
                <w:color w:val="auto"/>
                <w:sz w:val="24"/>
                <w:lang w:val="en-US" w:eastAsia="zh-CN"/>
              </w:rPr>
            </w:pPr>
            <w:r>
              <w:rPr>
                <w:rFonts w:hint="eastAsia"/>
                <w:color w:val="auto"/>
                <w:sz w:val="24"/>
                <w:lang w:val="en-US" w:eastAsia="zh-CN"/>
              </w:rPr>
              <w:t>本项目属于防洪治理工程，不存在重大危险源，此类水利建设工程基本不存在突发或非突发的环境风险的几率。项目距离当地市区较近，广元市、朝天区均可为工程提供一定程度的加工、修理服务，施工过程中不设油库等风险源，施工场地不设机械修配厂、汽车修理厂等。</w:t>
            </w:r>
          </w:p>
          <w:p>
            <w:pPr>
              <w:spacing w:line="360" w:lineRule="auto"/>
              <w:ind w:firstLine="482" w:firstLineChars="200"/>
              <w:rPr>
                <w:rFonts w:hint="eastAsia"/>
                <w:b/>
                <w:bCs/>
                <w:color w:val="auto"/>
                <w:sz w:val="24"/>
                <w:lang w:val="en-US" w:eastAsia="zh-CN"/>
              </w:rPr>
            </w:pPr>
            <w:r>
              <w:rPr>
                <w:rFonts w:hint="eastAsia"/>
                <w:b/>
                <w:bCs/>
                <w:color w:val="auto"/>
                <w:sz w:val="24"/>
                <w:lang w:val="en-US" w:eastAsia="zh-CN"/>
              </w:rPr>
              <w:t>1、环境风险分析</w:t>
            </w:r>
          </w:p>
          <w:p>
            <w:pPr>
              <w:spacing w:line="360" w:lineRule="auto"/>
              <w:ind w:firstLine="480" w:firstLineChars="200"/>
              <w:rPr>
                <w:rFonts w:hint="eastAsia"/>
                <w:color w:val="auto"/>
                <w:sz w:val="24"/>
                <w:lang w:val="en-US" w:eastAsia="zh-CN"/>
              </w:rPr>
            </w:pPr>
            <w:r>
              <w:rPr>
                <w:rFonts w:hint="eastAsia"/>
                <w:color w:val="auto"/>
                <w:sz w:val="24"/>
                <w:lang w:val="en-US" w:eastAsia="zh-CN"/>
              </w:rPr>
              <w:t>根据本项目施工及运行特点、周围环境特点以及工程与周围环境之间的关系，本项目风险事故主要体现在施工现场隔油沉淀池破损泄漏、暴雨、洪水等自然灾害导致围堰等土方工程破坏等风险。</w:t>
            </w:r>
          </w:p>
          <w:p>
            <w:pPr>
              <w:spacing w:line="360" w:lineRule="auto"/>
              <w:ind w:firstLine="482" w:firstLineChars="200"/>
              <w:rPr>
                <w:rFonts w:hint="eastAsia"/>
                <w:b/>
                <w:bCs/>
                <w:color w:val="auto"/>
                <w:sz w:val="24"/>
                <w:lang w:val="en-US" w:eastAsia="zh-CN"/>
              </w:rPr>
            </w:pPr>
            <w:r>
              <w:rPr>
                <w:rFonts w:hint="eastAsia"/>
                <w:b/>
                <w:bCs/>
                <w:color w:val="auto"/>
                <w:sz w:val="24"/>
                <w:lang w:val="en-US" w:eastAsia="zh-CN"/>
              </w:rPr>
              <w:t>（1）隔油沉淀池破损泄漏风险</w:t>
            </w:r>
          </w:p>
          <w:p>
            <w:pPr>
              <w:spacing w:line="360" w:lineRule="auto"/>
              <w:ind w:firstLine="480" w:firstLineChars="200"/>
              <w:rPr>
                <w:rFonts w:hint="eastAsia"/>
                <w:color w:val="auto"/>
                <w:sz w:val="24"/>
                <w:lang w:val="en-US" w:eastAsia="zh-CN"/>
              </w:rPr>
            </w:pPr>
            <w:r>
              <w:rPr>
                <w:rFonts w:hint="eastAsia"/>
                <w:color w:val="auto"/>
                <w:sz w:val="24"/>
                <w:lang w:val="en-US" w:eastAsia="zh-CN"/>
              </w:rPr>
              <w:t>项目施工废水收集后经隔油沉淀用于洗车、洒水降尘等，若池体破损泄漏，对地表水、地下水、土壤环境及周边生态环境均会产生影响。</w:t>
            </w:r>
          </w:p>
          <w:p>
            <w:pPr>
              <w:spacing w:line="360" w:lineRule="auto"/>
              <w:ind w:firstLine="482" w:firstLineChars="200"/>
              <w:rPr>
                <w:rFonts w:hint="eastAsia"/>
                <w:b/>
                <w:bCs/>
                <w:color w:val="auto"/>
                <w:sz w:val="24"/>
                <w:lang w:val="en-US" w:eastAsia="zh-CN"/>
              </w:rPr>
            </w:pPr>
            <w:r>
              <w:rPr>
                <w:rFonts w:hint="eastAsia"/>
                <w:b/>
                <w:bCs/>
                <w:color w:val="auto"/>
                <w:sz w:val="24"/>
                <w:lang w:val="en-US" w:eastAsia="zh-CN"/>
              </w:rPr>
              <w:t>（2）暴雨、洪水等自然灾害导致围堰等土方工程破坏</w:t>
            </w:r>
          </w:p>
          <w:p>
            <w:pPr>
              <w:spacing w:line="360" w:lineRule="auto"/>
              <w:ind w:firstLine="480" w:firstLineChars="200"/>
              <w:rPr>
                <w:rFonts w:hint="eastAsia"/>
                <w:color w:val="auto"/>
                <w:sz w:val="24"/>
                <w:lang w:val="en-US" w:eastAsia="zh-CN"/>
              </w:rPr>
            </w:pPr>
            <w:r>
              <w:rPr>
                <w:rFonts w:hint="eastAsia"/>
                <w:color w:val="auto"/>
                <w:sz w:val="24"/>
                <w:lang w:val="en-US" w:eastAsia="zh-CN"/>
              </w:rPr>
              <w:t>本项目部分堤防需在河道施工，需单独构筑围堰，其它部分位于河漫滩上，</w:t>
            </w:r>
            <w:r>
              <w:rPr>
                <w:color w:val="auto"/>
                <w:sz w:val="24"/>
              </w:rPr>
              <w:t>地面高程远高于施工枯水期洪水位，利用基坑开挖形成临时围堰</w:t>
            </w:r>
            <w:r>
              <w:rPr>
                <w:rFonts w:hint="eastAsia"/>
                <w:color w:val="auto"/>
                <w:sz w:val="24"/>
                <w:lang w:eastAsia="zh-CN"/>
              </w:rPr>
              <w:t>；</w:t>
            </w:r>
            <w:r>
              <w:rPr>
                <w:rFonts w:hint="eastAsia"/>
                <w:color w:val="auto"/>
                <w:sz w:val="24"/>
                <w:lang w:val="en-US" w:eastAsia="zh-CN"/>
              </w:rPr>
              <w:t>一旦出现暴雨、洪水时，极易冲垮围堰等土方工程，对地表水产生较大影响。</w:t>
            </w:r>
          </w:p>
          <w:p>
            <w:pPr>
              <w:spacing w:line="360" w:lineRule="auto"/>
              <w:ind w:firstLine="482" w:firstLineChars="200"/>
              <w:rPr>
                <w:rFonts w:hint="eastAsia"/>
                <w:b/>
                <w:bCs/>
                <w:color w:val="auto"/>
                <w:sz w:val="24"/>
                <w:lang w:val="en-US" w:eastAsia="zh-CN"/>
              </w:rPr>
            </w:pPr>
            <w:r>
              <w:rPr>
                <w:rFonts w:hint="eastAsia"/>
                <w:b/>
                <w:bCs/>
                <w:color w:val="auto"/>
                <w:sz w:val="24"/>
                <w:lang w:val="en-US" w:eastAsia="zh-CN"/>
              </w:rPr>
              <w:t>2、环境风险防范措施及应急要求</w:t>
            </w:r>
          </w:p>
          <w:p>
            <w:pPr>
              <w:spacing w:line="360" w:lineRule="auto"/>
              <w:ind w:firstLine="482" w:firstLineChars="200"/>
              <w:rPr>
                <w:rFonts w:hint="default"/>
                <w:b/>
                <w:bCs/>
                <w:color w:val="auto"/>
                <w:sz w:val="24"/>
                <w:lang w:val="en-US" w:eastAsia="zh-CN"/>
              </w:rPr>
            </w:pPr>
            <w:r>
              <w:rPr>
                <w:rFonts w:hint="eastAsia"/>
                <w:b/>
                <w:bCs/>
                <w:color w:val="auto"/>
                <w:sz w:val="24"/>
                <w:lang w:eastAsia="zh-CN"/>
              </w:rPr>
              <w:t>（</w:t>
            </w:r>
            <w:r>
              <w:rPr>
                <w:rFonts w:hint="eastAsia"/>
                <w:b/>
                <w:bCs/>
                <w:color w:val="auto"/>
                <w:sz w:val="24"/>
                <w:lang w:val="en-US" w:eastAsia="zh-CN"/>
              </w:rPr>
              <w:t>1</w:t>
            </w:r>
            <w:r>
              <w:rPr>
                <w:rFonts w:hint="eastAsia"/>
                <w:b/>
                <w:bCs/>
                <w:color w:val="auto"/>
                <w:sz w:val="24"/>
                <w:lang w:eastAsia="zh-CN"/>
              </w:rPr>
              <w:t>）</w:t>
            </w:r>
            <w:r>
              <w:rPr>
                <w:rFonts w:hint="eastAsia"/>
                <w:b/>
                <w:bCs/>
                <w:color w:val="auto"/>
                <w:sz w:val="24"/>
                <w:lang w:val="en-US" w:eastAsia="zh-CN"/>
              </w:rPr>
              <w:t>隔油沉淀池破损泄漏风险防范措施</w:t>
            </w:r>
          </w:p>
          <w:p>
            <w:pPr>
              <w:spacing w:line="360" w:lineRule="auto"/>
              <w:ind w:firstLine="480" w:firstLineChars="200"/>
              <w:rPr>
                <w:rFonts w:hint="default" w:eastAsia="宋体"/>
                <w:color w:val="auto"/>
                <w:sz w:val="24"/>
                <w:lang w:val="en-US" w:eastAsia="zh-CN"/>
              </w:rPr>
            </w:pPr>
            <w:r>
              <w:rPr>
                <w:rFonts w:hint="eastAsia"/>
                <w:color w:val="auto"/>
                <w:sz w:val="24"/>
                <w:lang w:val="en-US" w:eastAsia="zh-CN"/>
              </w:rPr>
              <w:t>本项目可能因隔油沉淀池池体破损造成废水泄漏，施工单位应对隔油沉淀池进行防渗处理，发现破损及时停工检修，修补后再次施工；加强巡逻，确保能第一时间发现池体破损造成的泄漏，及时处置。</w:t>
            </w:r>
          </w:p>
          <w:p>
            <w:pPr>
              <w:spacing w:line="360" w:lineRule="auto"/>
              <w:ind w:firstLine="482" w:firstLineChars="200"/>
              <w:rPr>
                <w:rFonts w:hint="default" w:eastAsia="宋体"/>
                <w:b/>
                <w:bCs/>
                <w:color w:val="auto"/>
                <w:sz w:val="24"/>
                <w:lang w:val="en-US" w:eastAsia="zh-CN"/>
              </w:rPr>
            </w:pPr>
            <w:r>
              <w:rPr>
                <w:rFonts w:hint="eastAsia"/>
                <w:b/>
                <w:bCs/>
                <w:color w:val="auto"/>
                <w:sz w:val="24"/>
                <w:lang w:eastAsia="zh-CN"/>
              </w:rPr>
              <w:t>（</w:t>
            </w:r>
            <w:r>
              <w:rPr>
                <w:rFonts w:hint="eastAsia"/>
                <w:b/>
                <w:bCs/>
                <w:color w:val="auto"/>
                <w:sz w:val="24"/>
                <w:lang w:val="en-US" w:eastAsia="zh-CN"/>
              </w:rPr>
              <w:t>2</w:t>
            </w:r>
            <w:r>
              <w:rPr>
                <w:rFonts w:hint="eastAsia"/>
                <w:b/>
                <w:bCs/>
                <w:color w:val="auto"/>
                <w:sz w:val="24"/>
                <w:lang w:eastAsia="zh-CN"/>
              </w:rPr>
              <w:t>）</w:t>
            </w:r>
            <w:r>
              <w:rPr>
                <w:rFonts w:hint="eastAsia"/>
                <w:b/>
                <w:bCs/>
                <w:color w:val="auto"/>
                <w:sz w:val="24"/>
                <w:lang w:val="en-US" w:eastAsia="zh-CN"/>
              </w:rPr>
              <w:t>暴雨、洪水导致围堰等土方工程破坏风险防范措施</w:t>
            </w:r>
          </w:p>
          <w:p>
            <w:pPr>
              <w:spacing w:line="360" w:lineRule="auto"/>
              <w:ind w:firstLine="480" w:firstLineChars="200"/>
              <w:rPr>
                <w:rFonts w:hint="default" w:eastAsia="宋体"/>
                <w:color w:val="auto"/>
                <w:sz w:val="24"/>
                <w:lang w:val="en-US" w:eastAsia="zh-CN"/>
              </w:rPr>
            </w:pPr>
            <w:r>
              <w:rPr>
                <w:rFonts w:hint="eastAsia"/>
                <w:color w:val="auto"/>
                <w:sz w:val="24"/>
                <w:lang w:val="en-US" w:eastAsia="zh-CN"/>
              </w:rPr>
              <w:t>出现暴雨天气时，施工单位应提前停止施工，平时对围堰等土方工程进行加固。</w:t>
            </w:r>
          </w:p>
          <w:p>
            <w:pPr>
              <w:spacing w:line="360" w:lineRule="auto"/>
              <w:ind w:firstLine="482" w:firstLineChars="200"/>
              <w:rPr>
                <w:rFonts w:hint="default" w:eastAsia="宋体"/>
                <w:b/>
                <w:bCs/>
                <w:color w:val="auto"/>
                <w:sz w:val="24"/>
                <w:lang w:val="en-US" w:eastAsia="zh-CN"/>
              </w:rPr>
            </w:pPr>
            <w:r>
              <w:rPr>
                <w:rFonts w:hint="eastAsia"/>
                <w:b/>
                <w:bCs/>
                <w:color w:val="auto"/>
                <w:sz w:val="24"/>
                <w:lang w:val="en-US" w:eastAsia="zh-CN"/>
              </w:rPr>
              <w:t>3、环境风险评价结论</w:t>
            </w:r>
          </w:p>
          <w:p>
            <w:pPr>
              <w:spacing w:line="360" w:lineRule="auto"/>
              <w:ind w:firstLine="480" w:firstLineChars="200"/>
              <w:rPr>
                <w:rFonts w:hint="eastAsia"/>
                <w:color w:val="auto"/>
                <w:sz w:val="24"/>
                <w:lang w:val="en-US" w:eastAsia="zh-CN"/>
              </w:rPr>
            </w:pPr>
            <w:r>
              <w:rPr>
                <w:rFonts w:hint="eastAsia"/>
                <w:color w:val="auto"/>
                <w:sz w:val="24"/>
                <w:lang w:val="en-US" w:eastAsia="zh-CN"/>
              </w:rPr>
              <w:t>建设单位应按照相关规定建设、完善风险防范设施和应急处理处置方法、编制规范的环境风险的突发性事故的应急预案，加强员工的思想教育工作和风险防范意识，加强管理，定期检查，消除安全隐患，以保证正常工作。采取以上措施后，一般可认为各事故发生的概率很小，环境风险可接受.</w:t>
            </w:r>
          </w:p>
          <w:p>
            <w:pPr>
              <w:spacing w:line="360" w:lineRule="auto"/>
              <w:ind w:firstLine="482" w:firstLineChars="200"/>
              <w:rPr>
                <w:bCs/>
                <w:color w:val="auto"/>
                <w:sz w:val="24"/>
              </w:rPr>
            </w:pPr>
            <w:r>
              <w:rPr>
                <w:rFonts w:hint="eastAsia"/>
                <w:b/>
                <w:bCs/>
                <w:color w:val="auto"/>
                <w:sz w:val="24"/>
                <w:lang w:val="en-US" w:eastAsia="zh-CN"/>
              </w:rPr>
              <w:t>项目施工期已基本结束，施工单位严格执行了上述环境风险防范措施，施工过程未产生环境风险事故</w:t>
            </w:r>
            <w:r>
              <w:rPr>
                <w:b/>
                <w:bCs/>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7" w:type="dxa"/>
            <w:tcMar>
              <w:left w:w="28" w:type="dxa"/>
              <w:right w:w="28" w:type="dxa"/>
            </w:tcMar>
            <w:vAlign w:val="center"/>
          </w:tcPr>
          <w:p>
            <w:pPr>
              <w:pStyle w:val="31"/>
              <w:adjustRightInd w:val="0"/>
              <w:snapToGrid w:val="0"/>
              <w:spacing w:before="0" w:beforeAutospacing="0" w:after="0" w:afterAutospacing="0"/>
              <w:jc w:val="center"/>
              <w:rPr>
                <w:rFonts w:ascii="Times New Roman" w:hAnsi="Times New Roman"/>
                <w:bCs/>
                <w:color w:val="auto"/>
                <w:kern w:val="2"/>
              </w:rPr>
            </w:pPr>
            <w:r>
              <w:rPr>
                <w:rFonts w:ascii="Times New Roman" w:hAnsi="Times New Roman"/>
                <w:bCs/>
                <w:color w:val="auto"/>
                <w:spacing w:val="10"/>
                <w:kern w:val="2"/>
              </w:rPr>
              <w:t>运营期生态环境影响分析</w:t>
            </w:r>
          </w:p>
        </w:tc>
        <w:tc>
          <w:tcPr>
            <w:tcW w:w="8340" w:type="dxa"/>
          </w:tcPr>
          <w:p>
            <w:pPr>
              <w:spacing w:line="360" w:lineRule="auto"/>
              <w:rPr>
                <w:b/>
                <w:bCs/>
                <w:color w:val="auto"/>
                <w:sz w:val="24"/>
              </w:rPr>
            </w:pPr>
            <w:r>
              <w:rPr>
                <w:b/>
                <w:bCs/>
                <w:color w:val="auto"/>
                <w:sz w:val="24"/>
              </w:rPr>
              <w:t>1、河道疏浚对河道水文情势影响分析</w:t>
            </w:r>
          </w:p>
          <w:p>
            <w:pPr>
              <w:spacing w:line="360" w:lineRule="auto"/>
              <w:ind w:firstLine="480" w:firstLineChars="200"/>
              <w:rPr>
                <w:color w:val="auto"/>
                <w:sz w:val="24"/>
              </w:rPr>
            </w:pPr>
            <w:r>
              <w:rPr>
                <w:color w:val="auto"/>
                <w:sz w:val="24"/>
              </w:rPr>
              <w:t>根据初步设计报告可知，项目疏浚不会导致项目河段的长度、集水面积和流量的变化，通过降低河床高度，增强河道过流能力和行洪能力，降低河道水面线，有利于改善河道冲淤不平衡现状，使主流归槽，且清淤疏浚之后将提高堤防抵御洪水的能力。</w:t>
            </w:r>
          </w:p>
          <w:p>
            <w:pPr>
              <w:spacing w:line="360" w:lineRule="auto"/>
              <w:rPr>
                <w:b/>
                <w:bCs/>
                <w:color w:val="auto"/>
                <w:sz w:val="24"/>
              </w:rPr>
            </w:pPr>
            <w:r>
              <w:rPr>
                <w:b/>
                <w:bCs/>
                <w:color w:val="auto"/>
                <w:sz w:val="24"/>
              </w:rPr>
              <w:t>2、堤防工程影响分析</w:t>
            </w:r>
          </w:p>
          <w:p>
            <w:pPr>
              <w:spacing w:line="360" w:lineRule="auto"/>
              <w:ind w:firstLine="480" w:firstLineChars="200"/>
              <w:rPr>
                <w:color w:val="auto"/>
                <w:sz w:val="24"/>
              </w:rPr>
            </w:pPr>
            <w:r>
              <w:rPr>
                <w:color w:val="auto"/>
                <w:sz w:val="24"/>
              </w:rPr>
              <w:t>堤防投入运行后，正常运行过程中不会对周围环境产生不良环境影响，主要体现的是环境正效应、社会正效应。</w:t>
            </w:r>
          </w:p>
          <w:p>
            <w:pPr>
              <w:spacing w:line="360" w:lineRule="auto"/>
              <w:ind w:firstLine="480" w:firstLineChars="200"/>
              <w:rPr>
                <w:color w:val="auto"/>
                <w:sz w:val="24"/>
              </w:rPr>
            </w:pPr>
            <w:r>
              <w:rPr>
                <w:color w:val="auto"/>
                <w:sz w:val="24"/>
              </w:rPr>
              <w:t xml:space="preserve">（1）环境效益 </w:t>
            </w:r>
          </w:p>
          <w:p>
            <w:pPr>
              <w:spacing w:line="360" w:lineRule="auto"/>
              <w:ind w:firstLine="480" w:firstLineChars="200"/>
              <w:rPr>
                <w:color w:val="auto"/>
                <w:sz w:val="24"/>
              </w:rPr>
            </w:pPr>
            <w:r>
              <w:rPr>
                <w:color w:val="auto"/>
                <w:sz w:val="24"/>
              </w:rPr>
              <w:t>该项目的实施对保护水质及防洪除涝、保护两岸居民企业生命财产安全，加强区域的生态环境保护具有重要意义。</w:t>
            </w:r>
          </w:p>
          <w:p>
            <w:pPr>
              <w:spacing w:line="360" w:lineRule="auto"/>
              <w:ind w:firstLine="480" w:firstLineChars="200"/>
              <w:rPr>
                <w:color w:val="auto"/>
                <w:sz w:val="24"/>
              </w:rPr>
            </w:pPr>
            <w:r>
              <w:rPr>
                <w:color w:val="auto"/>
                <w:sz w:val="24"/>
              </w:rPr>
              <w:t xml:space="preserve">（2）经济效益 </w:t>
            </w:r>
          </w:p>
          <w:p>
            <w:pPr>
              <w:spacing w:line="360" w:lineRule="auto"/>
              <w:ind w:firstLine="480" w:firstLineChars="200"/>
              <w:rPr>
                <w:color w:val="auto"/>
                <w:sz w:val="24"/>
              </w:rPr>
            </w:pPr>
            <w:r>
              <w:rPr>
                <w:color w:val="auto"/>
                <w:sz w:val="24"/>
              </w:rPr>
              <w:t xml:space="preserve">该项目的实施，对改善生态环境起到一定的积极作用，极大的带动区域经济的发展，无形中也有力推进了区域社会经济的快速健康发展。 </w:t>
            </w:r>
          </w:p>
          <w:p>
            <w:pPr>
              <w:spacing w:line="360" w:lineRule="auto"/>
              <w:ind w:firstLine="480" w:firstLineChars="200"/>
              <w:rPr>
                <w:color w:val="auto"/>
                <w:sz w:val="24"/>
              </w:rPr>
            </w:pPr>
            <w:r>
              <w:rPr>
                <w:color w:val="auto"/>
                <w:sz w:val="24"/>
              </w:rPr>
              <w:t xml:space="preserve">（3）社会效益 </w:t>
            </w:r>
          </w:p>
          <w:p>
            <w:pPr>
              <w:spacing w:line="360" w:lineRule="auto"/>
              <w:ind w:firstLine="480" w:firstLineChars="200"/>
              <w:rPr>
                <w:b/>
                <w:bCs/>
                <w:color w:val="auto"/>
                <w:sz w:val="24"/>
              </w:rPr>
            </w:pPr>
            <w:r>
              <w:rPr>
                <w:color w:val="auto"/>
                <w:sz w:val="24"/>
              </w:rPr>
              <w:t xml:space="preserve"> 项目的建设不仅可恢复河道行洪断面，提高河道泄洪能力，归顺水流，使得河势趋于稳定，减小洪水对两岸的威胁。项目的实施，将有效地保护地方环境资源，有力支持地方经济的发展。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13" w:hRule="atLeast"/>
          <w:jc w:val="center"/>
        </w:trPr>
        <w:tc>
          <w:tcPr>
            <w:tcW w:w="927" w:type="dxa"/>
            <w:vAlign w:val="center"/>
          </w:tcPr>
          <w:p>
            <w:pPr>
              <w:pStyle w:val="31"/>
              <w:adjustRightInd w:val="0"/>
              <w:snapToGrid w:val="0"/>
              <w:spacing w:before="0" w:beforeAutospacing="0" w:after="0" w:afterAutospacing="0"/>
              <w:jc w:val="center"/>
              <w:rPr>
                <w:rFonts w:ascii="Times New Roman" w:hAnsi="Times New Roman"/>
                <w:bCs/>
                <w:color w:val="auto"/>
                <w:kern w:val="2"/>
              </w:rPr>
            </w:pPr>
            <w:r>
              <w:rPr>
                <w:rFonts w:ascii="Times New Roman" w:hAnsi="Times New Roman"/>
                <w:bCs/>
                <w:color w:val="auto"/>
                <w:kern w:val="2"/>
              </w:rPr>
              <w:t>选址选线环境合理性分析</w:t>
            </w:r>
          </w:p>
        </w:tc>
        <w:tc>
          <w:tcPr>
            <w:tcW w:w="8340" w:type="dxa"/>
          </w:tcPr>
          <w:p>
            <w:pPr>
              <w:spacing w:line="360" w:lineRule="auto"/>
              <w:rPr>
                <w:b/>
                <w:bCs/>
                <w:color w:val="auto"/>
                <w:sz w:val="24"/>
              </w:rPr>
            </w:pPr>
            <w:r>
              <w:rPr>
                <w:b/>
                <w:bCs/>
                <w:color w:val="auto"/>
                <w:sz w:val="24"/>
              </w:rPr>
              <w:t>一、项目线路选址合理性分析</w:t>
            </w:r>
          </w:p>
          <w:p>
            <w:pPr>
              <w:spacing w:line="360" w:lineRule="auto"/>
              <w:ind w:firstLine="480" w:firstLineChars="200"/>
              <w:rPr>
                <w:color w:val="auto"/>
                <w:sz w:val="24"/>
              </w:rPr>
            </w:pPr>
            <w:r>
              <w:rPr>
                <w:color w:val="auto"/>
                <w:sz w:val="24"/>
              </w:rPr>
              <w:t>本项目综合治理河道长度为7.50km，起点位于</w:t>
            </w:r>
            <w:r>
              <w:rPr>
                <w:color w:val="auto"/>
                <w:kern w:val="0"/>
                <w:sz w:val="24"/>
              </w:rPr>
              <w:t>双河村广坪河右岸</w:t>
            </w:r>
            <w:r>
              <w:rPr>
                <w:color w:val="auto"/>
                <w:sz w:val="24"/>
              </w:rPr>
              <w:t>，终点为</w:t>
            </w:r>
            <w:r>
              <w:rPr>
                <w:color w:val="auto"/>
                <w:kern w:val="0"/>
                <w:sz w:val="24"/>
              </w:rPr>
              <w:t>青羊村广坪河右岸</w:t>
            </w:r>
            <w:r>
              <w:rPr>
                <w:color w:val="auto"/>
                <w:sz w:val="24"/>
              </w:rPr>
              <w:t>，主要进行河道清淤疏浚和堤防建设新建。本项目堤线基本顺原河道走向布置，河道疏浚开挖合格的清淤料回用于堤防填筑，尽量节约填筑量，新建段堤线在满足稳定河宽基础上，顺河道布置，连接上下游已成堤防。本项目修建河堤和河道疏挖段沿现有河道布设，线路方案唯一。</w:t>
            </w:r>
          </w:p>
          <w:p>
            <w:pPr>
              <w:spacing w:line="360" w:lineRule="auto"/>
              <w:rPr>
                <w:b/>
                <w:bCs/>
                <w:color w:val="auto"/>
                <w:sz w:val="24"/>
              </w:rPr>
            </w:pPr>
            <w:r>
              <w:rPr>
                <w:b/>
                <w:bCs/>
                <w:color w:val="auto"/>
                <w:sz w:val="24"/>
              </w:rPr>
              <w:t>二、项目沿线外环境关系</w:t>
            </w:r>
          </w:p>
          <w:p>
            <w:pPr>
              <w:spacing w:line="360" w:lineRule="auto"/>
              <w:ind w:firstLine="480" w:firstLineChars="200"/>
              <w:rPr>
                <w:color w:val="auto"/>
                <w:sz w:val="24"/>
              </w:rPr>
            </w:pPr>
            <w:r>
              <w:rPr>
                <w:color w:val="auto"/>
                <w:sz w:val="24"/>
              </w:rPr>
              <w:t>根据现场踏勘可知，本项目沿线周边200m范围内主要以村镇居民为主，最近住户距离项目堤防边线约47m，具体详见附图所示。</w:t>
            </w:r>
          </w:p>
          <w:p>
            <w:pPr>
              <w:spacing w:line="360" w:lineRule="auto"/>
              <w:ind w:firstLine="480" w:firstLineChars="200"/>
              <w:rPr>
                <w:color w:val="auto"/>
                <w:sz w:val="24"/>
              </w:rPr>
            </w:pPr>
            <w:r>
              <w:rPr>
                <w:color w:val="auto"/>
                <w:sz w:val="24"/>
              </w:rPr>
              <w:t>本项目部分区域涉及生态保护红线边界，本项目属于防洪治理工程，是必须且无法避让、符合县级以上规划的防洪基础设施建设；本项目部分建设段在嘉陵江源湿地自然保护区实验区范围内，长度约1883m（2段堤防1609m，围堰274m，工程清淤区位于保护区外侧），本项目与保护区位置关系见图3-1。</w:t>
            </w:r>
          </w:p>
          <w:p>
            <w:pPr>
              <w:spacing w:line="360" w:lineRule="auto"/>
              <w:ind w:firstLine="480" w:firstLineChars="200"/>
              <w:rPr>
                <w:color w:val="auto"/>
                <w:sz w:val="24"/>
              </w:rPr>
            </w:pPr>
            <w:r>
              <w:rPr>
                <w:color w:val="auto"/>
                <w:sz w:val="24"/>
              </w:rPr>
              <w:t>经核实，本次整治河段不在四川广元朝天省级地质公园、四川省曾家山鸳鸯池森林公园、四川水磨沟省级自然保护区及剑门蜀道国家级风景名胜区等保护地范围内，不涉及饮用水源地、大熊猫国家公园等各类保护地范围。</w:t>
            </w:r>
          </w:p>
          <w:p>
            <w:pPr>
              <w:spacing w:line="360" w:lineRule="auto"/>
              <w:ind w:firstLine="480" w:firstLineChars="200"/>
              <w:rPr>
                <w:color w:val="auto"/>
                <w:sz w:val="24"/>
              </w:rPr>
            </w:pPr>
            <w:r>
              <w:rPr>
                <w:color w:val="auto"/>
                <w:sz w:val="24"/>
              </w:rPr>
              <w:t>经调查，广坪河评价区内无国家级保护鱼类，无四川省级重点保护鱼类，在严格采取本项目提出的枯水期施工以及分段导流施工的施工方式，能够最大限度降低对水生生物的影响。</w:t>
            </w:r>
          </w:p>
          <w:p>
            <w:pPr>
              <w:spacing w:line="360" w:lineRule="auto"/>
              <w:ind w:firstLine="480" w:firstLineChars="200"/>
              <w:rPr>
                <w:color w:val="auto"/>
                <w:sz w:val="24"/>
              </w:rPr>
            </w:pPr>
            <w:r>
              <w:rPr>
                <w:color w:val="auto"/>
                <w:sz w:val="24"/>
              </w:rPr>
              <w:t>根据《四川省朝天区广坪河羊木段防洪治理工程对四川嘉陵江源湿地市级自然保护区自然资源、自然生态系统和主要保护对象影响评价报告》与上文生态环境影响分析，本项目在严格采取报告提出的措施后对四川嘉陵江源湿地市级自然保护区影响较小。下游最近国控（省控）监测断面位于广元市朝天区元西村，距离本项目整治河段下游约13km，本项目在严格采取报告提出的措施后，对国控断面影响较小。</w:t>
            </w:r>
          </w:p>
          <w:p>
            <w:pPr>
              <w:spacing w:line="360" w:lineRule="auto"/>
              <w:ind w:firstLine="480" w:firstLineChars="200"/>
              <w:rPr>
                <w:color w:val="auto"/>
                <w:sz w:val="24"/>
              </w:rPr>
            </w:pPr>
            <w:r>
              <w:rPr>
                <w:color w:val="auto"/>
                <w:sz w:val="24"/>
              </w:rPr>
              <w:t>因此，整体线路选址合理。</w:t>
            </w:r>
          </w:p>
          <w:p>
            <w:pPr>
              <w:spacing w:line="360" w:lineRule="auto"/>
              <w:rPr>
                <w:b/>
                <w:bCs/>
                <w:color w:val="auto"/>
                <w:sz w:val="24"/>
              </w:rPr>
            </w:pPr>
            <w:r>
              <w:rPr>
                <w:b/>
                <w:bCs/>
                <w:color w:val="auto"/>
                <w:sz w:val="24"/>
              </w:rPr>
              <w:t>三、项目临时工程外环境关系及选址合理性分析</w:t>
            </w:r>
          </w:p>
          <w:p>
            <w:pPr>
              <w:spacing w:line="360" w:lineRule="auto"/>
              <w:ind w:firstLine="480" w:firstLineChars="200"/>
              <w:rPr>
                <w:color w:val="auto"/>
                <w:sz w:val="24"/>
              </w:rPr>
            </w:pPr>
            <w:r>
              <w:rPr>
                <w:color w:val="auto"/>
                <w:sz w:val="24"/>
              </w:rPr>
              <w:t>项目临时工程主要包括1处施工场地、2处临时堆料场。</w:t>
            </w:r>
          </w:p>
          <w:p>
            <w:pPr>
              <w:spacing w:line="360" w:lineRule="auto"/>
              <w:ind w:firstLine="482" w:firstLineChars="200"/>
              <w:rPr>
                <w:b/>
                <w:bCs/>
                <w:color w:val="auto"/>
                <w:sz w:val="24"/>
              </w:rPr>
            </w:pPr>
            <w:r>
              <w:rPr>
                <w:b/>
                <w:bCs/>
                <w:color w:val="auto"/>
                <w:sz w:val="24"/>
              </w:rPr>
              <w:t>（1）临时施工场地外环境关系及选址合理性分析</w:t>
            </w:r>
          </w:p>
          <w:p>
            <w:pPr>
              <w:spacing w:line="360" w:lineRule="auto"/>
              <w:ind w:firstLine="480" w:firstLineChars="200"/>
              <w:rPr>
                <w:color w:val="auto"/>
                <w:sz w:val="24"/>
              </w:rPr>
            </w:pPr>
            <w:r>
              <w:rPr>
                <w:color w:val="auto"/>
                <w:sz w:val="24"/>
              </w:rPr>
              <w:t>项目施工场地沿着整治河段布设，周边200m范围内</w:t>
            </w:r>
            <w:r>
              <w:rPr>
                <w:rFonts w:hint="eastAsia"/>
                <w:color w:val="auto"/>
                <w:sz w:val="24"/>
                <w:lang w:val="en-US" w:eastAsia="zh-CN"/>
              </w:rPr>
              <w:t>基本</w:t>
            </w:r>
            <w:r>
              <w:rPr>
                <w:color w:val="auto"/>
                <w:sz w:val="24"/>
              </w:rPr>
              <w:t>为农田，</w:t>
            </w:r>
            <w:r>
              <w:rPr>
                <w:rFonts w:hint="eastAsia"/>
                <w:color w:val="auto"/>
                <w:sz w:val="24"/>
                <w:lang w:val="en-US" w:eastAsia="zh-CN"/>
              </w:rPr>
              <w:t>西南侧约180m处有1户</w:t>
            </w:r>
            <w:r>
              <w:rPr>
                <w:color w:val="auto"/>
                <w:sz w:val="24"/>
              </w:rPr>
              <w:t>居民，施工场地不涉及自然保护区、重点文物古迹等敏感目标，无明显的环境制约因素。项目施工场地外环境关系见下表：</w:t>
            </w:r>
          </w:p>
          <w:p>
            <w:pPr>
              <w:widowControl/>
              <w:numPr>
                <w:ilvl w:val="0"/>
                <w:numId w:val="10"/>
              </w:numPr>
              <w:adjustRightInd w:val="0"/>
              <w:snapToGrid w:val="0"/>
              <w:jc w:val="center"/>
              <w:rPr>
                <w:b/>
                <w:bCs/>
                <w:color w:val="auto"/>
                <w:szCs w:val="21"/>
              </w:rPr>
            </w:pPr>
            <w:r>
              <w:rPr>
                <w:b/>
                <w:bCs/>
                <w:color w:val="auto"/>
                <w:szCs w:val="21"/>
              </w:rPr>
              <w:t>项目施工场地选址周边外环境关系一览表</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1419"/>
              <w:gridCol w:w="1287"/>
              <w:gridCol w:w="3502"/>
              <w:gridCol w:w="10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1" w:type="dxa"/>
                  <w:shd w:val="clear" w:color="auto" w:fill="auto"/>
                  <w:vAlign w:val="center"/>
                </w:tcPr>
                <w:p>
                  <w:pPr>
                    <w:pStyle w:val="236"/>
                    <w:rPr>
                      <w:b/>
                      <w:bCs/>
                      <w:color w:val="auto"/>
                    </w:rPr>
                  </w:pPr>
                  <w:r>
                    <w:rPr>
                      <w:b/>
                      <w:bCs/>
                      <w:color w:val="auto"/>
                    </w:rPr>
                    <w:t>编号</w:t>
                  </w:r>
                </w:p>
              </w:tc>
              <w:tc>
                <w:tcPr>
                  <w:tcW w:w="1427" w:type="dxa"/>
                  <w:shd w:val="clear" w:color="auto" w:fill="auto"/>
                  <w:vAlign w:val="center"/>
                </w:tcPr>
                <w:p>
                  <w:pPr>
                    <w:pStyle w:val="236"/>
                    <w:rPr>
                      <w:b/>
                      <w:bCs/>
                      <w:color w:val="auto"/>
                    </w:rPr>
                  </w:pPr>
                  <w:r>
                    <w:rPr>
                      <w:b/>
                      <w:bCs/>
                      <w:color w:val="auto"/>
                    </w:rPr>
                    <w:t>位置</w:t>
                  </w:r>
                </w:p>
              </w:tc>
              <w:tc>
                <w:tcPr>
                  <w:tcW w:w="1293" w:type="dxa"/>
                  <w:shd w:val="clear" w:color="auto" w:fill="auto"/>
                  <w:vAlign w:val="center"/>
                </w:tcPr>
                <w:p>
                  <w:pPr>
                    <w:pStyle w:val="236"/>
                    <w:rPr>
                      <w:b/>
                      <w:bCs/>
                      <w:color w:val="auto"/>
                    </w:rPr>
                  </w:pPr>
                  <w:r>
                    <w:rPr>
                      <w:b/>
                      <w:bCs/>
                      <w:color w:val="auto"/>
                    </w:rPr>
                    <w:t>占地面积（m</w:t>
                  </w:r>
                  <w:r>
                    <w:rPr>
                      <w:b/>
                      <w:bCs/>
                      <w:color w:val="auto"/>
                      <w:vertAlign w:val="superscript"/>
                    </w:rPr>
                    <w:t>2</w:t>
                  </w:r>
                  <w:r>
                    <w:rPr>
                      <w:b/>
                      <w:bCs/>
                      <w:color w:val="auto"/>
                    </w:rPr>
                    <w:t>）</w:t>
                  </w:r>
                </w:p>
              </w:tc>
              <w:tc>
                <w:tcPr>
                  <w:tcW w:w="3544" w:type="dxa"/>
                  <w:shd w:val="clear" w:color="auto" w:fill="auto"/>
                  <w:vAlign w:val="center"/>
                </w:tcPr>
                <w:p>
                  <w:pPr>
                    <w:pStyle w:val="236"/>
                    <w:rPr>
                      <w:b/>
                      <w:bCs/>
                      <w:color w:val="auto"/>
                    </w:rPr>
                  </w:pPr>
                  <w:r>
                    <w:rPr>
                      <w:b/>
                      <w:bCs/>
                      <w:color w:val="auto"/>
                    </w:rPr>
                    <w:t>周边外环境</w:t>
                  </w:r>
                </w:p>
              </w:tc>
              <w:tc>
                <w:tcPr>
                  <w:tcW w:w="1030" w:type="dxa"/>
                  <w:shd w:val="clear" w:color="auto" w:fill="auto"/>
                  <w:vAlign w:val="center"/>
                </w:tcPr>
                <w:p>
                  <w:pPr>
                    <w:pStyle w:val="236"/>
                    <w:rPr>
                      <w:b/>
                      <w:bCs/>
                      <w:color w:val="auto"/>
                    </w:rPr>
                  </w:pPr>
                  <w:r>
                    <w:rPr>
                      <w:b/>
                      <w:bCs/>
                      <w:color w:val="auto"/>
                    </w:rPr>
                    <w:t>选址是否合理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1" w:type="dxa"/>
                  <w:shd w:val="clear" w:color="auto" w:fill="auto"/>
                  <w:vAlign w:val="center"/>
                </w:tcPr>
                <w:p>
                  <w:pPr>
                    <w:pStyle w:val="236"/>
                    <w:rPr>
                      <w:color w:val="auto"/>
                    </w:rPr>
                  </w:pPr>
                  <w:r>
                    <w:rPr>
                      <w:color w:val="auto"/>
                    </w:rPr>
                    <w:t>1#施工场地</w:t>
                  </w:r>
                </w:p>
              </w:tc>
              <w:tc>
                <w:tcPr>
                  <w:tcW w:w="1427" w:type="dxa"/>
                  <w:shd w:val="clear" w:color="auto" w:fill="auto"/>
                  <w:vAlign w:val="center"/>
                </w:tcPr>
                <w:p>
                  <w:pPr>
                    <w:pStyle w:val="236"/>
                    <w:rPr>
                      <w:color w:val="auto"/>
                      <w:lang w:val="en-US"/>
                    </w:rPr>
                  </w:pPr>
                  <w:r>
                    <w:rPr>
                      <w:rFonts w:hint="eastAsia"/>
                      <w:color w:val="auto"/>
                      <w:lang w:val="en-US" w:eastAsia="zh-CN"/>
                    </w:rPr>
                    <w:t>广K4+000处</w:t>
                  </w:r>
                </w:p>
              </w:tc>
              <w:tc>
                <w:tcPr>
                  <w:tcW w:w="1293" w:type="dxa"/>
                  <w:shd w:val="clear" w:color="auto" w:fill="auto"/>
                  <w:vAlign w:val="center"/>
                </w:tcPr>
                <w:p>
                  <w:pPr>
                    <w:pStyle w:val="236"/>
                    <w:rPr>
                      <w:color w:val="auto"/>
                      <w:lang w:val="en-US"/>
                    </w:rPr>
                  </w:pPr>
                  <w:r>
                    <w:rPr>
                      <w:color w:val="auto"/>
                      <w:lang w:val="en-US"/>
                    </w:rPr>
                    <w:t>2000</w:t>
                  </w:r>
                </w:p>
              </w:tc>
              <w:tc>
                <w:tcPr>
                  <w:tcW w:w="3544" w:type="dxa"/>
                  <w:shd w:val="clear" w:color="auto" w:fill="auto"/>
                  <w:vAlign w:val="center"/>
                </w:tcPr>
                <w:p>
                  <w:pPr>
                    <w:pStyle w:val="236"/>
                    <w:rPr>
                      <w:rFonts w:hint="default" w:eastAsia="宋体"/>
                      <w:color w:val="auto"/>
                      <w:lang w:val="en-US" w:eastAsia="zh-CN"/>
                    </w:rPr>
                  </w:pPr>
                  <w:r>
                    <w:rPr>
                      <w:rFonts w:hint="eastAsia"/>
                      <w:color w:val="auto"/>
                      <w:lang w:val="en-US" w:eastAsia="zh-CN"/>
                    </w:rPr>
                    <w:t>东</w:t>
                  </w:r>
                  <w:r>
                    <w:rPr>
                      <w:color w:val="auto"/>
                    </w:rPr>
                    <w:t>侧紧邻</w:t>
                  </w:r>
                  <w:r>
                    <w:rPr>
                      <w:rFonts w:hint="eastAsia"/>
                      <w:color w:val="auto"/>
                      <w:lang w:val="en-US" w:eastAsia="zh-CN"/>
                    </w:rPr>
                    <w:t>村道</w:t>
                  </w:r>
                  <w:r>
                    <w:rPr>
                      <w:color w:val="auto"/>
                    </w:rPr>
                    <w:t>，</w:t>
                  </w:r>
                  <w:r>
                    <w:rPr>
                      <w:color w:val="auto"/>
                      <w:lang w:val="en-US"/>
                    </w:rPr>
                    <w:t>200m内</w:t>
                  </w:r>
                  <w:r>
                    <w:rPr>
                      <w:rFonts w:hint="eastAsia"/>
                      <w:color w:val="auto"/>
                      <w:lang w:val="en-US" w:eastAsia="zh-CN"/>
                    </w:rPr>
                    <w:t>基本</w:t>
                  </w:r>
                  <w:r>
                    <w:rPr>
                      <w:color w:val="auto"/>
                      <w:lang w:val="en-US"/>
                    </w:rPr>
                    <w:t>为农田</w:t>
                  </w:r>
                  <w:r>
                    <w:rPr>
                      <w:rFonts w:hint="eastAsia"/>
                      <w:color w:val="auto"/>
                      <w:lang w:val="en-US" w:eastAsia="zh-CN"/>
                    </w:rPr>
                    <w:t>，有1户居民居住</w:t>
                  </w:r>
                </w:p>
              </w:tc>
              <w:tc>
                <w:tcPr>
                  <w:tcW w:w="1030" w:type="dxa"/>
                  <w:shd w:val="clear" w:color="auto" w:fill="auto"/>
                  <w:vAlign w:val="center"/>
                </w:tcPr>
                <w:p>
                  <w:pPr>
                    <w:pStyle w:val="236"/>
                    <w:rPr>
                      <w:color w:val="auto"/>
                    </w:rPr>
                  </w:pPr>
                  <w:r>
                    <w:rPr>
                      <w:color w:val="auto"/>
                    </w:rPr>
                    <w:t>是</w:t>
                  </w:r>
                </w:p>
              </w:tc>
            </w:tr>
          </w:tbl>
          <w:p>
            <w:pPr>
              <w:spacing w:line="360" w:lineRule="auto"/>
              <w:ind w:firstLine="482" w:firstLineChars="200"/>
              <w:rPr>
                <w:b/>
                <w:bCs/>
                <w:color w:val="auto"/>
                <w:sz w:val="24"/>
              </w:rPr>
            </w:pPr>
            <w:r>
              <w:rPr>
                <w:b/>
                <w:bCs/>
                <w:color w:val="auto"/>
                <w:sz w:val="24"/>
              </w:rPr>
              <w:t>（2）临时堆场外环境关系及选址合理性分析</w:t>
            </w:r>
          </w:p>
          <w:p>
            <w:pPr>
              <w:spacing w:line="360" w:lineRule="auto"/>
              <w:ind w:firstLine="480" w:firstLineChars="200"/>
              <w:rPr>
                <w:color w:val="auto"/>
                <w:sz w:val="24"/>
              </w:rPr>
            </w:pPr>
            <w:r>
              <w:rPr>
                <w:color w:val="auto"/>
                <w:sz w:val="24"/>
              </w:rPr>
              <w:t>本项目设置临时堆料场用于清淤料</w:t>
            </w:r>
            <w:r>
              <w:rPr>
                <w:rFonts w:hint="eastAsia"/>
                <w:color w:val="auto"/>
                <w:sz w:val="24"/>
                <w:lang w:val="en-US" w:eastAsia="zh-CN"/>
              </w:rPr>
              <w:t>晾晒</w:t>
            </w:r>
            <w:r>
              <w:rPr>
                <w:color w:val="auto"/>
                <w:sz w:val="24"/>
              </w:rPr>
              <w:t>与表土堆存</w:t>
            </w:r>
            <w:r>
              <w:rPr>
                <w:color w:val="auto"/>
                <w:sz w:val="24"/>
              </w:rPr>
              <w:t>，参照《一般工业固体废物贮存和填埋污染控制标准》（GB18599-2020）关于</w:t>
            </w:r>
            <w:r>
              <w:rPr>
                <w:color w:val="auto"/>
                <w:sz w:val="24"/>
              </w:rPr>
              <w:fldChar w:fldCharType="begin"/>
            </w:r>
            <w:r>
              <w:rPr>
                <w:color w:val="auto"/>
                <w:sz w:val="24"/>
              </w:rPr>
              <w:instrText xml:space="preserve"> = 1 \* ROMAN </w:instrText>
            </w:r>
            <w:r>
              <w:rPr>
                <w:color w:val="auto"/>
                <w:sz w:val="24"/>
              </w:rPr>
              <w:fldChar w:fldCharType="separate"/>
            </w:r>
            <w:r>
              <w:rPr>
                <w:color w:val="auto"/>
                <w:sz w:val="24"/>
              </w:rPr>
              <w:t>I</w:t>
            </w:r>
            <w:r>
              <w:rPr>
                <w:color w:val="auto"/>
                <w:sz w:val="24"/>
              </w:rPr>
              <w:fldChar w:fldCharType="end"/>
            </w:r>
            <w:r>
              <w:rPr>
                <w:color w:val="auto"/>
                <w:sz w:val="24"/>
              </w:rPr>
              <w:t>类场选址的相关要求进行选址，本项目与该选址要求符合性要求如下表所示。</w:t>
            </w:r>
          </w:p>
          <w:p>
            <w:pPr>
              <w:widowControl/>
              <w:numPr>
                <w:ilvl w:val="0"/>
                <w:numId w:val="10"/>
              </w:numPr>
              <w:adjustRightInd w:val="0"/>
              <w:snapToGrid w:val="0"/>
              <w:jc w:val="center"/>
              <w:rPr>
                <w:b/>
                <w:bCs/>
                <w:color w:val="auto"/>
                <w:szCs w:val="21"/>
              </w:rPr>
            </w:pPr>
            <w:r>
              <w:rPr>
                <w:b/>
                <w:bCs/>
                <w:color w:val="auto"/>
                <w:szCs w:val="21"/>
              </w:rPr>
              <w:t>临时堆场选址符合性分析一览表</w:t>
            </w:r>
          </w:p>
          <w:tbl>
            <w:tblPr>
              <w:tblStyle w:val="36"/>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94"/>
              <w:gridCol w:w="4281"/>
              <w:gridCol w:w="6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blHeader/>
              </w:trPr>
              <w:tc>
                <w:tcPr>
                  <w:tcW w:w="1965" w:type="pct"/>
                  <w:vAlign w:val="center"/>
                </w:tcPr>
                <w:p>
                  <w:pPr>
                    <w:pStyle w:val="236"/>
                    <w:adjustRightInd w:val="0"/>
                    <w:snapToGrid w:val="0"/>
                    <w:rPr>
                      <w:b/>
                      <w:bCs/>
                      <w:color w:val="auto"/>
                    </w:rPr>
                  </w:pPr>
                  <w:r>
                    <w:rPr>
                      <w:b/>
                      <w:bCs/>
                      <w:color w:val="auto"/>
                    </w:rPr>
                    <w:t>I类场场址选择保护要求</w:t>
                  </w:r>
                </w:p>
              </w:tc>
              <w:tc>
                <w:tcPr>
                  <w:tcW w:w="2634" w:type="pct"/>
                  <w:vAlign w:val="center"/>
                </w:tcPr>
                <w:p>
                  <w:pPr>
                    <w:pStyle w:val="236"/>
                    <w:adjustRightInd w:val="0"/>
                    <w:snapToGrid w:val="0"/>
                    <w:rPr>
                      <w:b/>
                      <w:bCs/>
                      <w:color w:val="auto"/>
                    </w:rPr>
                  </w:pPr>
                  <w:r>
                    <w:rPr>
                      <w:b/>
                      <w:bCs/>
                      <w:color w:val="auto"/>
                    </w:rPr>
                    <w:t>临时堆场选址分析结论</w:t>
                  </w:r>
                </w:p>
              </w:tc>
              <w:tc>
                <w:tcPr>
                  <w:tcW w:w="399" w:type="pct"/>
                  <w:vAlign w:val="center"/>
                </w:tcPr>
                <w:p>
                  <w:pPr>
                    <w:pStyle w:val="236"/>
                    <w:adjustRightInd w:val="0"/>
                    <w:snapToGrid w:val="0"/>
                    <w:rPr>
                      <w:b/>
                      <w:bCs/>
                      <w:color w:val="auto"/>
                    </w:rPr>
                  </w:pPr>
                  <w:r>
                    <w:rPr>
                      <w:b/>
                      <w:bCs/>
                      <w:color w:val="auto"/>
                    </w:rPr>
                    <w:t>结论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1965" w:type="pct"/>
                  <w:vAlign w:val="center"/>
                </w:tcPr>
                <w:p>
                  <w:pPr>
                    <w:pStyle w:val="236"/>
                    <w:adjustRightInd w:val="0"/>
                    <w:snapToGrid w:val="0"/>
                    <w:jc w:val="left"/>
                    <w:rPr>
                      <w:color w:val="auto"/>
                    </w:rPr>
                  </w:pPr>
                  <w:r>
                    <w:rPr>
                      <w:color w:val="auto"/>
                    </w:rPr>
                    <w:t>一般工业固体废物贮存场、填埋场的选址应符合环境保护法律法规及相关法定规划要求。</w:t>
                  </w:r>
                </w:p>
              </w:tc>
              <w:tc>
                <w:tcPr>
                  <w:tcW w:w="2634" w:type="pct"/>
                  <w:vAlign w:val="center"/>
                </w:tcPr>
                <w:p>
                  <w:pPr>
                    <w:pStyle w:val="236"/>
                    <w:adjustRightInd w:val="0"/>
                    <w:snapToGrid w:val="0"/>
                    <w:jc w:val="left"/>
                    <w:rPr>
                      <w:color w:val="auto"/>
                    </w:rPr>
                  </w:pPr>
                  <w:r>
                    <w:rPr>
                      <w:color w:val="auto"/>
                    </w:rPr>
                    <w:t>本项目临时堆场均不占用基本农田，目前用地手续正在办理之中，在取得用地手续后，本项目临时堆场的选址符合环境保护法律法规及相关法定规划要求。</w:t>
                  </w:r>
                </w:p>
              </w:tc>
              <w:tc>
                <w:tcPr>
                  <w:tcW w:w="399" w:type="pct"/>
                  <w:vAlign w:val="center"/>
                </w:tcPr>
                <w:p>
                  <w:pPr>
                    <w:pStyle w:val="236"/>
                    <w:adjustRightInd w:val="0"/>
                    <w:snapToGrid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1965" w:type="pct"/>
                  <w:vAlign w:val="center"/>
                </w:tcPr>
                <w:p>
                  <w:pPr>
                    <w:pStyle w:val="236"/>
                    <w:adjustRightInd w:val="0"/>
                    <w:snapToGrid w:val="0"/>
                    <w:jc w:val="left"/>
                    <w:rPr>
                      <w:color w:val="auto"/>
                    </w:rPr>
                  </w:pPr>
                  <w:r>
                    <w:rPr>
                      <w:color w:val="auto"/>
                    </w:rPr>
                    <w:t>贮存场、填埋场的位置与周围居民区的距离应依据环境影响评价文件及审批意见确定。</w:t>
                  </w:r>
                </w:p>
              </w:tc>
              <w:tc>
                <w:tcPr>
                  <w:tcW w:w="2634" w:type="pct"/>
                  <w:vAlign w:val="center"/>
                </w:tcPr>
                <w:p>
                  <w:pPr>
                    <w:pStyle w:val="236"/>
                    <w:adjustRightInd w:val="0"/>
                    <w:snapToGrid w:val="0"/>
                    <w:jc w:val="left"/>
                    <w:rPr>
                      <w:color w:val="auto"/>
                    </w:rPr>
                  </w:pPr>
                  <w:r>
                    <w:rPr>
                      <w:color w:val="auto"/>
                      <w:lang w:val="en-US"/>
                    </w:rPr>
                    <w:t>临时堆料场选址均为沿河道裸地处，</w:t>
                  </w:r>
                  <w:r>
                    <w:rPr>
                      <w:rFonts w:hint="eastAsia"/>
                      <w:color w:val="auto"/>
                      <w:lang w:val="en-US" w:eastAsia="zh-CN"/>
                    </w:rPr>
                    <w:t>临时</w:t>
                  </w:r>
                  <w:r>
                    <w:rPr>
                      <w:color w:val="auto"/>
                      <w:lang w:val="en-US"/>
                    </w:rPr>
                    <w:t>堆料场200m范围内有1户居民居住。</w:t>
                  </w:r>
                  <w:r>
                    <w:rPr>
                      <w:color w:val="auto"/>
                    </w:rPr>
                    <w:t>本环评报告认为，在严格采取堆场设置围挡、设置喷雾洒水装置喷雾降尘后，对周边居民影响较小。</w:t>
                  </w:r>
                </w:p>
              </w:tc>
              <w:tc>
                <w:tcPr>
                  <w:tcW w:w="399" w:type="pct"/>
                  <w:vAlign w:val="center"/>
                </w:tcPr>
                <w:p>
                  <w:pPr>
                    <w:pStyle w:val="236"/>
                    <w:adjustRightInd w:val="0"/>
                    <w:snapToGrid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1965" w:type="pct"/>
                  <w:vAlign w:val="center"/>
                </w:tcPr>
                <w:p>
                  <w:pPr>
                    <w:pStyle w:val="236"/>
                    <w:adjustRightInd w:val="0"/>
                    <w:snapToGrid w:val="0"/>
                    <w:jc w:val="left"/>
                    <w:rPr>
                      <w:color w:val="auto"/>
                    </w:rPr>
                  </w:pPr>
                  <w:r>
                    <w:rPr>
                      <w:color w:val="auto"/>
                    </w:rPr>
                    <w:t>贮存场、填埋场不得选在生态保护红线区域、永久基本农田集中区域和其他需要特别保护的区域内。</w:t>
                  </w:r>
                </w:p>
              </w:tc>
              <w:tc>
                <w:tcPr>
                  <w:tcW w:w="2634" w:type="pct"/>
                  <w:vAlign w:val="center"/>
                </w:tcPr>
                <w:p>
                  <w:pPr>
                    <w:pStyle w:val="236"/>
                    <w:adjustRightInd w:val="0"/>
                    <w:snapToGrid w:val="0"/>
                    <w:jc w:val="left"/>
                    <w:rPr>
                      <w:color w:val="auto"/>
                    </w:rPr>
                  </w:pPr>
                  <w:r>
                    <w:rPr>
                      <w:color w:val="auto"/>
                    </w:rPr>
                    <w:t>本项目临时堆料场不在生态保护红线范围内，不涉及永久基本农田和其他需要特别保护的区域内。</w:t>
                  </w:r>
                </w:p>
              </w:tc>
              <w:tc>
                <w:tcPr>
                  <w:tcW w:w="399" w:type="pct"/>
                  <w:vAlign w:val="center"/>
                </w:tcPr>
                <w:p>
                  <w:pPr>
                    <w:pStyle w:val="236"/>
                    <w:adjustRightInd w:val="0"/>
                    <w:snapToGrid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1965" w:type="pct"/>
                  <w:vAlign w:val="center"/>
                </w:tcPr>
                <w:p>
                  <w:pPr>
                    <w:pStyle w:val="236"/>
                    <w:adjustRightInd w:val="0"/>
                    <w:snapToGrid w:val="0"/>
                    <w:jc w:val="left"/>
                    <w:rPr>
                      <w:color w:val="auto"/>
                    </w:rPr>
                  </w:pPr>
                  <w:r>
                    <w:rPr>
                      <w:color w:val="auto"/>
                    </w:rPr>
                    <w:t>贮存场、填埋场应避开活动断层、溶洞区、天然滑坡或泥石流影响区以及湿地等区域。</w:t>
                  </w:r>
                </w:p>
              </w:tc>
              <w:tc>
                <w:tcPr>
                  <w:tcW w:w="2634" w:type="pct"/>
                  <w:vAlign w:val="center"/>
                </w:tcPr>
                <w:p>
                  <w:pPr>
                    <w:pStyle w:val="236"/>
                    <w:adjustRightInd w:val="0"/>
                    <w:snapToGrid w:val="0"/>
                    <w:jc w:val="left"/>
                    <w:rPr>
                      <w:color w:val="auto"/>
                    </w:rPr>
                  </w:pPr>
                  <w:r>
                    <w:rPr>
                      <w:color w:val="auto"/>
                    </w:rPr>
                    <w:t>本项目临时堆场所在区域不涉及溶洞区、天然滑坡或泥石流影响区以及湿地等区域。</w:t>
                  </w:r>
                </w:p>
              </w:tc>
              <w:tc>
                <w:tcPr>
                  <w:tcW w:w="399" w:type="pct"/>
                  <w:vAlign w:val="center"/>
                </w:tcPr>
                <w:p>
                  <w:pPr>
                    <w:pStyle w:val="236"/>
                    <w:adjustRightInd w:val="0"/>
                    <w:snapToGrid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1965" w:type="pct"/>
                  <w:vAlign w:val="center"/>
                </w:tcPr>
                <w:p>
                  <w:pPr>
                    <w:pStyle w:val="236"/>
                    <w:adjustRightInd w:val="0"/>
                    <w:snapToGrid w:val="0"/>
                    <w:jc w:val="left"/>
                    <w:rPr>
                      <w:color w:val="auto"/>
                    </w:rPr>
                  </w:pPr>
                  <w:r>
                    <w:rPr>
                      <w:color w:val="auto"/>
                    </w:rPr>
                    <w:t>贮存场、填埋场不得选在江河、湖泊、运河、渠道、水库最高水位线以下的滩地和岸坡，以及国家和地方长远规划中的水库等人工蓄水设施的淹没区和保护区之内。</w:t>
                  </w:r>
                </w:p>
              </w:tc>
              <w:tc>
                <w:tcPr>
                  <w:tcW w:w="2634" w:type="pct"/>
                  <w:vAlign w:val="center"/>
                </w:tcPr>
                <w:p>
                  <w:pPr>
                    <w:pStyle w:val="236"/>
                    <w:adjustRightInd w:val="0"/>
                    <w:snapToGrid w:val="0"/>
                    <w:jc w:val="left"/>
                    <w:rPr>
                      <w:color w:val="auto"/>
                    </w:rPr>
                  </w:pPr>
                  <w:r>
                    <w:rPr>
                      <w:color w:val="auto"/>
                    </w:rPr>
                    <w:t>项目临时堆场选址不在江河、湖泊、运河、渠道、水库最高水位线以下的滩地和岸坡，不在水库的淹没区和保护区之内。</w:t>
                  </w:r>
                </w:p>
              </w:tc>
              <w:tc>
                <w:tcPr>
                  <w:tcW w:w="399" w:type="pct"/>
                  <w:vAlign w:val="center"/>
                </w:tcPr>
                <w:p>
                  <w:pPr>
                    <w:pStyle w:val="236"/>
                    <w:adjustRightInd w:val="0"/>
                    <w:snapToGrid w:val="0"/>
                    <w:rPr>
                      <w:color w:val="auto"/>
                    </w:rPr>
                  </w:pPr>
                  <w:r>
                    <w:rPr>
                      <w:color w:val="auto"/>
                    </w:rPr>
                    <w:t>符合</w:t>
                  </w:r>
                </w:p>
              </w:tc>
            </w:tr>
          </w:tbl>
          <w:p>
            <w:pPr>
              <w:adjustRightInd w:val="0"/>
              <w:snapToGrid w:val="0"/>
              <w:spacing w:line="360" w:lineRule="auto"/>
              <w:ind w:firstLine="480" w:firstLineChars="200"/>
              <w:rPr>
                <w:rFonts w:hint="eastAsia"/>
                <w:color w:val="auto"/>
                <w:sz w:val="24"/>
                <w:lang w:eastAsia="zh-CN"/>
              </w:rPr>
            </w:pPr>
            <w:r>
              <w:rPr>
                <w:color w:val="auto"/>
                <w:sz w:val="24"/>
              </w:rPr>
              <w:t>因此，由上表可知，本项目临时堆场选址符合《一般工业固体废物贮存和填埋污染控制标准》（GB18599-2020）有关规定的环境保护要求</w:t>
            </w:r>
            <w:r>
              <w:rPr>
                <w:rFonts w:hint="eastAsia"/>
                <w:color w:val="auto"/>
                <w:sz w:val="24"/>
                <w:lang w:eastAsia="zh-CN"/>
              </w:rPr>
              <w:t>。</w:t>
            </w:r>
          </w:p>
          <w:p>
            <w:pPr>
              <w:adjustRightInd w:val="0"/>
              <w:snapToGrid w:val="0"/>
              <w:spacing w:line="360" w:lineRule="auto"/>
              <w:ind w:firstLine="480" w:firstLineChars="200"/>
              <w:rPr>
                <w:color w:val="auto"/>
                <w:sz w:val="24"/>
              </w:rPr>
            </w:pPr>
            <w:r>
              <w:rPr>
                <w:rFonts w:hint="eastAsia"/>
                <w:color w:val="auto"/>
                <w:sz w:val="24"/>
                <w:lang w:val="en-US" w:eastAsia="zh-CN"/>
              </w:rPr>
              <w:t>同时，本项目施工期已基本完成，目前临时占地已进行迹地恢复。临时堆场内淤料晾晒、施工场地施工均未受到周围居民投诉</w:t>
            </w:r>
            <w:r>
              <w:rPr>
                <w:rFonts w:hint="eastAsia"/>
                <w:color w:val="auto"/>
                <w:sz w:val="24"/>
                <w:lang w:eastAsia="zh-CN"/>
              </w:rPr>
              <w:t>。</w:t>
            </w:r>
          </w:p>
        </w:tc>
      </w:tr>
    </w:tbl>
    <w:p>
      <w:pPr>
        <w:pStyle w:val="31"/>
        <w:jc w:val="center"/>
        <w:rPr>
          <w:rFonts w:ascii="Times New Roman" w:hAnsi="Times New Roman" w:eastAsia="黑体"/>
          <w:snapToGrid w:val="0"/>
          <w:color w:val="auto"/>
          <w:sz w:val="36"/>
          <w:szCs w:val="36"/>
        </w:rPr>
        <w:sectPr>
          <w:pgSz w:w="11905" w:h="16838"/>
          <w:pgMar w:top="1701" w:right="1531" w:bottom="1701" w:left="1531" w:header="851" w:footer="1077" w:gutter="0"/>
          <w:cols w:space="720" w:num="1"/>
          <w:docGrid w:linePitch="312" w:charSpace="0"/>
        </w:sectPr>
      </w:pPr>
    </w:p>
    <w:p>
      <w:pPr>
        <w:pStyle w:val="31"/>
        <w:adjustRightInd w:val="0"/>
        <w:snapToGrid w:val="0"/>
        <w:spacing w:before="0" w:beforeAutospacing="0" w:after="0" w:afterAutospacing="0" w:line="14" w:lineRule="auto"/>
        <w:jc w:val="center"/>
        <w:rPr>
          <w:rFonts w:ascii="Times New Roman" w:hAnsi="Times New Roman" w:eastAsia="黑体"/>
          <w:snapToGrid w:val="0"/>
          <w:color w:val="auto"/>
          <w:sz w:val="30"/>
          <w:szCs w:val="30"/>
        </w:rPr>
      </w:pPr>
    </w:p>
    <w:p>
      <w:pPr>
        <w:pStyle w:val="3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五、主要生态环境保护措施</w:t>
      </w:r>
    </w:p>
    <w:tbl>
      <w:tblPr>
        <w:tblStyle w:val="36"/>
        <w:tblW w:w="92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82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3" w:hRule="atLeast"/>
          <w:jc w:val="center"/>
        </w:trPr>
        <w:tc>
          <w:tcPr>
            <w:tcW w:w="945" w:type="dxa"/>
            <w:tcMar>
              <w:left w:w="28" w:type="dxa"/>
              <w:right w:w="28" w:type="dxa"/>
            </w:tcMar>
            <w:vAlign w:val="center"/>
          </w:tcPr>
          <w:p>
            <w:pPr>
              <w:adjustRightInd w:val="0"/>
              <w:snapToGrid w:val="0"/>
              <w:jc w:val="center"/>
              <w:rPr>
                <w:bCs/>
                <w:color w:val="auto"/>
                <w:sz w:val="24"/>
              </w:rPr>
            </w:pPr>
            <w:r>
              <w:rPr>
                <w:bCs/>
                <w:color w:val="auto"/>
                <w:spacing w:val="10"/>
                <w:sz w:val="24"/>
              </w:rPr>
              <w:t>施工期生态环境保护措施</w:t>
            </w:r>
          </w:p>
        </w:tc>
        <w:tc>
          <w:tcPr>
            <w:tcW w:w="8299" w:type="dxa"/>
          </w:tcPr>
          <w:p>
            <w:pPr>
              <w:adjustRightInd w:val="0"/>
              <w:snapToGrid w:val="0"/>
              <w:spacing w:line="360" w:lineRule="auto"/>
              <w:rPr>
                <w:b/>
                <w:color w:val="auto"/>
                <w:spacing w:val="-10"/>
                <w:sz w:val="24"/>
              </w:rPr>
            </w:pPr>
            <w:r>
              <w:rPr>
                <w:b/>
                <w:color w:val="auto"/>
                <w:spacing w:val="-10"/>
                <w:sz w:val="24"/>
              </w:rPr>
              <w:t>一、施工期生态环境保护措施分析</w:t>
            </w:r>
          </w:p>
          <w:p>
            <w:pPr>
              <w:adjustRightInd w:val="0"/>
              <w:snapToGrid w:val="0"/>
              <w:spacing w:line="360" w:lineRule="auto"/>
              <w:ind w:firstLine="482" w:firstLineChars="200"/>
              <w:rPr>
                <w:b/>
                <w:bCs/>
                <w:color w:val="auto"/>
                <w:sz w:val="24"/>
              </w:rPr>
            </w:pPr>
            <w:r>
              <w:rPr>
                <w:b/>
                <w:bCs/>
                <w:color w:val="auto"/>
                <w:sz w:val="24"/>
              </w:rPr>
              <w:t>1、陆生生态保护措施</w:t>
            </w:r>
          </w:p>
          <w:p>
            <w:pPr>
              <w:adjustRightInd w:val="0"/>
              <w:snapToGrid w:val="0"/>
              <w:spacing w:line="360" w:lineRule="auto"/>
              <w:ind w:firstLine="482" w:firstLineChars="200"/>
              <w:rPr>
                <w:b/>
                <w:bCs/>
                <w:color w:val="auto"/>
                <w:sz w:val="24"/>
              </w:rPr>
            </w:pPr>
            <w:r>
              <w:rPr>
                <w:b/>
                <w:bCs/>
                <w:color w:val="auto"/>
                <w:sz w:val="24"/>
              </w:rPr>
              <w:t>（1）确定最小施工范围，划定施工红线</w:t>
            </w:r>
          </w:p>
          <w:p>
            <w:pPr>
              <w:adjustRightInd w:val="0"/>
              <w:snapToGrid w:val="0"/>
              <w:spacing w:line="360" w:lineRule="auto"/>
              <w:ind w:firstLine="480" w:firstLineChars="200"/>
              <w:rPr>
                <w:color w:val="auto"/>
                <w:sz w:val="24"/>
              </w:rPr>
            </w:pPr>
            <w:r>
              <w:rPr>
                <w:color w:val="auto"/>
                <w:sz w:val="24"/>
              </w:rPr>
              <w:t>本项目施工红线以工程设计的最小占地范围为基准，尽量降低对项目区域生态环境的影响。</w:t>
            </w:r>
          </w:p>
          <w:p>
            <w:pPr>
              <w:adjustRightInd w:val="0"/>
              <w:snapToGrid w:val="0"/>
              <w:spacing w:line="360" w:lineRule="auto"/>
              <w:ind w:firstLine="480" w:firstLineChars="200"/>
              <w:rPr>
                <w:color w:val="auto"/>
                <w:sz w:val="24"/>
              </w:rPr>
            </w:pPr>
            <w:r>
              <w:rPr>
                <w:color w:val="auto"/>
                <w:sz w:val="24"/>
              </w:rPr>
              <w:t>①施工前做好划线勘查工作，划定施工红线；</w:t>
            </w:r>
          </w:p>
          <w:p>
            <w:pPr>
              <w:adjustRightInd w:val="0"/>
              <w:snapToGrid w:val="0"/>
              <w:spacing w:line="360" w:lineRule="auto"/>
              <w:ind w:firstLine="480" w:firstLineChars="200"/>
              <w:rPr>
                <w:color w:val="auto"/>
                <w:sz w:val="24"/>
              </w:rPr>
            </w:pPr>
            <w:r>
              <w:rPr>
                <w:color w:val="auto"/>
                <w:sz w:val="24"/>
              </w:rPr>
              <w:t>②合理进行施工布局及施工安排，严格控制工程动土范围、严禁越界施工；</w:t>
            </w:r>
          </w:p>
          <w:p>
            <w:pPr>
              <w:adjustRightInd w:val="0"/>
              <w:snapToGrid w:val="0"/>
              <w:spacing w:line="360" w:lineRule="auto"/>
              <w:ind w:firstLine="480" w:firstLineChars="200"/>
              <w:rPr>
                <w:color w:val="auto"/>
                <w:sz w:val="24"/>
              </w:rPr>
            </w:pPr>
            <w:r>
              <w:rPr>
                <w:color w:val="auto"/>
                <w:sz w:val="24"/>
              </w:rPr>
              <w:t>③因施工场地、施工道路在工程建设期植被恢复期内的水土流失量较大，对其所在区域及附近的植被破坏较严重，需做好必要的排水沟、沉淀池等防护措施。</w:t>
            </w:r>
          </w:p>
          <w:p>
            <w:pPr>
              <w:adjustRightInd w:val="0"/>
              <w:snapToGrid w:val="0"/>
              <w:spacing w:line="360" w:lineRule="auto"/>
              <w:ind w:firstLine="482" w:firstLineChars="200"/>
              <w:rPr>
                <w:b/>
                <w:bCs/>
                <w:color w:val="auto"/>
                <w:sz w:val="24"/>
              </w:rPr>
            </w:pPr>
            <w:r>
              <w:rPr>
                <w:b/>
                <w:bCs/>
                <w:color w:val="auto"/>
                <w:sz w:val="24"/>
              </w:rPr>
              <w:t>（2）施工过程中的植物保护</w:t>
            </w:r>
          </w:p>
          <w:p>
            <w:pPr>
              <w:adjustRightInd w:val="0"/>
              <w:snapToGrid w:val="0"/>
              <w:spacing w:line="360" w:lineRule="auto"/>
              <w:ind w:firstLine="480" w:firstLineChars="200"/>
              <w:rPr>
                <w:color w:val="auto"/>
                <w:sz w:val="24"/>
              </w:rPr>
            </w:pPr>
            <w:r>
              <w:rPr>
                <w:color w:val="auto"/>
                <w:sz w:val="24"/>
              </w:rPr>
              <w:t>①施工场地平整期间地表植被及其附着土壤剥离并妥善管理，待施工结束后用于植被恢复和构建；</w:t>
            </w:r>
          </w:p>
          <w:p>
            <w:pPr>
              <w:adjustRightInd w:val="0"/>
              <w:snapToGrid w:val="0"/>
              <w:spacing w:line="360" w:lineRule="auto"/>
              <w:ind w:firstLine="480" w:firstLineChars="200"/>
              <w:rPr>
                <w:color w:val="auto"/>
                <w:sz w:val="24"/>
              </w:rPr>
            </w:pPr>
            <w:r>
              <w:rPr>
                <w:color w:val="auto"/>
                <w:sz w:val="24"/>
              </w:rPr>
              <w:t>②加强施工管理，在疏浚料开挖时及时进行洒水降尘，并及时对项目沿线道路进行洒水降尘，同时对运输车辆进行封闭或采用篷布覆盖，尽量保持车辆轮胎湿润，减少起尘量；</w:t>
            </w:r>
          </w:p>
          <w:p>
            <w:pPr>
              <w:adjustRightInd w:val="0"/>
              <w:snapToGrid w:val="0"/>
              <w:spacing w:line="360" w:lineRule="auto"/>
              <w:ind w:firstLine="480" w:firstLineChars="200"/>
              <w:rPr>
                <w:color w:val="auto"/>
                <w:sz w:val="24"/>
              </w:rPr>
            </w:pPr>
            <w:r>
              <w:rPr>
                <w:color w:val="auto"/>
                <w:sz w:val="24"/>
              </w:rPr>
              <w:t>③施工人员在建设期间，要规范人为施工和机械施工的方式，精确细致，不能对红线以外的植被造成破坏。</w:t>
            </w:r>
          </w:p>
          <w:p>
            <w:pPr>
              <w:adjustRightInd w:val="0"/>
              <w:snapToGrid w:val="0"/>
              <w:spacing w:line="360" w:lineRule="auto"/>
              <w:ind w:firstLine="480" w:firstLineChars="200"/>
              <w:rPr>
                <w:color w:val="auto"/>
                <w:sz w:val="24"/>
              </w:rPr>
            </w:pPr>
            <w:r>
              <w:rPr>
                <w:color w:val="auto"/>
                <w:sz w:val="24"/>
              </w:rPr>
              <w:t>④施工过程中，对施工道路、施工场地等临时占地在分段施工完毕后及时覆盖表土，进行土地复垦和迹地恢复。</w:t>
            </w:r>
          </w:p>
          <w:p>
            <w:pPr>
              <w:adjustRightInd w:val="0"/>
              <w:snapToGrid w:val="0"/>
              <w:spacing w:line="360" w:lineRule="auto"/>
              <w:ind w:firstLine="482" w:firstLineChars="200"/>
              <w:rPr>
                <w:b/>
                <w:bCs/>
                <w:color w:val="auto"/>
                <w:sz w:val="24"/>
              </w:rPr>
            </w:pPr>
            <w:r>
              <w:rPr>
                <w:b/>
                <w:bCs/>
                <w:color w:val="auto"/>
                <w:sz w:val="24"/>
              </w:rPr>
              <w:t>（3）施工过程中的野生动物保护</w:t>
            </w:r>
          </w:p>
          <w:p>
            <w:pPr>
              <w:adjustRightInd w:val="0"/>
              <w:snapToGrid w:val="0"/>
              <w:spacing w:line="360" w:lineRule="auto"/>
              <w:ind w:firstLine="480" w:firstLineChars="200"/>
              <w:rPr>
                <w:color w:val="auto"/>
                <w:sz w:val="24"/>
              </w:rPr>
            </w:pPr>
            <w:r>
              <w:rPr>
                <w:color w:val="auto"/>
                <w:sz w:val="24"/>
              </w:rPr>
              <w:t>①避免夜间施工，以保证野生动物夜间的正常活动；合理安排施工时间，要避开早晨和黄昏时段作业（这些时段为多数动物的休息和觅食时段）；</w:t>
            </w:r>
          </w:p>
          <w:p>
            <w:pPr>
              <w:adjustRightInd w:val="0"/>
              <w:snapToGrid w:val="0"/>
              <w:spacing w:line="360" w:lineRule="auto"/>
              <w:ind w:firstLine="480" w:firstLineChars="200"/>
              <w:rPr>
                <w:color w:val="auto"/>
                <w:sz w:val="24"/>
              </w:rPr>
            </w:pPr>
            <w:r>
              <w:rPr>
                <w:color w:val="auto"/>
                <w:sz w:val="24"/>
              </w:rPr>
              <w:t>②为了减少工程施工对野生动物的惊扰，尽量避开早晨、黄昏和正午时段使用强噪声施工机械；</w:t>
            </w:r>
          </w:p>
          <w:p>
            <w:pPr>
              <w:adjustRightInd w:val="0"/>
              <w:snapToGrid w:val="0"/>
              <w:spacing w:line="360" w:lineRule="auto"/>
              <w:ind w:firstLine="480" w:firstLineChars="200"/>
              <w:rPr>
                <w:color w:val="auto"/>
                <w:sz w:val="24"/>
              </w:rPr>
            </w:pPr>
            <w:r>
              <w:rPr>
                <w:color w:val="auto"/>
                <w:sz w:val="24"/>
              </w:rPr>
              <w:t>③针对两栖类与爬行类动物，防止因施工造成的水源污染、水质改变和土壤污染，尽量减少占地区内的植被破坏，尽可能保护好爬行动物的栖息生境；</w:t>
            </w:r>
          </w:p>
          <w:p>
            <w:pPr>
              <w:adjustRightInd w:val="0"/>
              <w:snapToGrid w:val="0"/>
              <w:spacing w:line="360" w:lineRule="auto"/>
              <w:ind w:firstLine="480" w:firstLineChars="200"/>
              <w:rPr>
                <w:color w:val="auto"/>
                <w:sz w:val="24"/>
              </w:rPr>
            </w:pPr>
            <w:r>
              <w:rPr>
                <w:color w:val="auto"/>
                <w:sz w:val="24"/>
              </w:rPr>
              <w:t>④针对鸟类，施工的季节避开鸟类的繁殖季节（一般为4～7月），避开鸟类等飞禽的迁徙通道，并加强施工人员保护鸟类的宣传教育；</w:t>
            </w:r>
          </w:p>
          <w:p>
            <w:pPr>
              <w:adjustRightInd w:val="0"/>
              <w:snapToGrid w:val="0"/>
              <w:spacing w:line="360" w:lineRule="auto"/>
              <w:ind w:firstLine="480" w:firstLineChars="200"/>
              <w:rPr>
                <w:color w:val="auto"/>
                <w:sz w:val="24"/>
              </w:rPr>
            </w:pPr>
            <w:r>
              <w:rPr>
                <w:color w:val="auto"/>
                <w:sz w:val="24"/>
              </w:rPr>
              <w:t>⑤针对兽类，严禁猎捕，对工程废物和施工人员的生活垃圾立即处理，避免生活垃圾为鼠类等疫源性兽类提供生活环境，避免小型兽类的种群爆发。</w:t>
            </w:r>
          </w:p>
          <w:p>
            <w:pPr>
              <w:adjustRightInd w:val="0"/>
              <w:snapToGrid w:val="0"/>
              <w:spacing w:line="360" w:lineRule="auto"/>
              <w:ind w:firstLine="482" w:firstLineChars="200"/>
              <w:rPr>
                <w:b/>
                <w:bCs/>
                <w:color w:val="auto"/>
                <w:sz w:val="24"/>
              </w:rPr>
            </w:pPr>
            <w:r>
              <w:rPr>
                <w:b/>
                <w:bCs/>
                <w:color w:val="auto"/>
                <w:sz w:val="24"/>
              </w:rPr>
              <w:t>（4）施工过程中水土流失保护措施</w:t>
            </w:r>
          </w:p>
          <w:p>
            <w:pPr>
              <w:adjustRightInd w:val="0"/>
              <w:snapToGrid w:val="0"/>
              <w:spacing w:line="360" w:lineRule="auto"/>
              <w:ind w:firstLine="480" w:firstLineChars="200"/>
              <w:rPr>
                <w:color w:val="auto"/>
                <w:sz w:val="24"/>
              </w:rPr>
            </w:pPr>
            <w:r>
              <w:rPr>
                <w:color w:val="auto"/>
                <w:sz w:val="24"/>
              </w:rPr>
              <w:t>由项目水土保持方案报告可知，拟采取的水土保持措施如下：</w:t>
            </w:r>
          </w:p>
          <w:p>
            <w:pPr>
              <w:adjustRightInd w:val="0"/>
              <w:snapToGrid w:val="0"/>
              <w:spacing w:line="360" w:lineRule="auto"/>
              <w:ind w:firstLine="482" w:firstLineChars="200"/>
              <w:rPr>
                <w:color w:val="auto"/>
                <w:sz w:val="24"/>
              </w:rPr>
            </w:pPr>
            <w:r>
              <w:rPr>
                <w:b/>
                <w:bCs/>
                <w:color w:val="auto"/>
                <w:sz w:val="24"/>
              </w:rPr>
              <w:t>临时措施：</w:t>
            </w:r>
            <w:r>
              <w:rPr>
                <w:color w:val="auto"/>
                <w:sz w:val="24"/>
              </w:rPr>
              <w:t>对施工场地及沿线道路定期清扫，并洒水保持湿润，但需要控制水量防止产生径流。</w:t>
            </w:r>
          </w:p>
          <w:p>
            <w:pPr>
              <w:adjustRightInd w:val="0"/>
              <w:snapToGrid w:val="0"/>
              <w:spacing w:line="360" w:lineRule="auto"/>
              <w:ind w:firstLine="482" w:firstLineChars="200"/>
              <w:rPr>
                <w:color w:val="auto"/>
                <w:sz w:val="24"/>
              </w:rPr>
            </w:pPr>
            <w:r>
              <w:rPr>
                <w:b/>
                <w:bCs/>
                <w:color w:val="auto"/>
                <w:sz w:val="24"/>
              </w:rPr>
              <w:t>施工管理措施：</w:t>
            </w:r>
            <w:r>
              <w:rPr>
                <w:color w:val="auto"/>
                <w:sz w:val="24"/>
              </w:rPr>
              <w:t>项目施工应在雨季到来之前做好防护并保持排水设施通畅；控制项目施工周期在12月~次年3月份的枯水期，开挖料堆存于堤后用于</w:t>
            </w:r>
            <w:r>
              <w:rPr>
                <w:rFonts w:hint="eastAsia"/>
                <w:color w:val="auto"/>
                <w:sz w:val="24"/>
                <w:lang w:val="en-US" w:eastAsia="zh-CN"/>
              </w:rPr>
              <w:t>堤防建设或堤后低洼</w:t>
            </w:r>
            <w:r>
              <w:rPr>
                <w:color w:val="auto"/>
                <w:sz w:val="24"/>
              </w:rPr>
              <w:t>回填，淤料日产日清，尽可能减少石方临时堆放的裸露时间并及时回填，避免堆体垮塌或被降雨冲入临近的河道。</w:t>
            </w:r>
          </w:p>
          <w:p>
            <w:pPr>
              <w:adjustRightInd w:val="0"/>
              <w:snapToGrid w:val="0"/>
              <w:spacing w:line="360" w:lineRule="auto"/>
              <w:ind w:firstLine="482" w:firstLineChars="200"/>
              <w:rPr>
                <w:b/>
                <w:bCs/>
                <w:color w:val="auto"/>
                <w:sz w:val="24"/>
              </w:rPr>
            </w:pPr>
            <w:r>
              <w:rPr>
                <w:b/>
                <w:bCs/>
                <w:color w:val="auto"/>
                <w:sz w:val="24"/>
              </w:rPr>
              <w:t>2、水生生态保护措施</w:t>
            </w:r>
          </w:p>
          <w:p>
            <w:pPr>
              <w:adjustRightInd w:val="0"/>
              <w:snapToGrid w:val="0"/>
              <w:spacing w:line="360" w:lineRule="auto"/>
              <w:ind w:firstLine="482" w:firstLineChars="200"/>
              <w:rPr>
                <w:b/>
                <w:bCs/>
                <w:color w:val="auto"/>
                <w:sz w:val="24"/>
              </w:rPr>
            </w:pPr>
            <w:r>
              <w:rPr>
                <w:b/>
                <w:bCs/>
                <w:color w:val="auto"/>
                <w:sz w:val="24"/>
              </w:rPr>
              <w:t>（1）优化施工方式，尽量减少对水体的扰动</w:t>
            </w:r>
          </w:p>
          <w:p>
            <w:pPr>
              <w:adjustRightInd w:val="0"/>
              <w:snapToGrid w:val="0"/>
              <w:spacing w:line="360" w:lineRule="auto"/>
              <w:ind w:firstLine="480" w:firstLineChars="200"/>
              <w:rPr>
                <w:color w:val="auto"/>
                <w:sz w:val="24"/>
              </w:rPr>
            </w:pPr>
            <w:r>
              <w:rPr>
                <w:color w:val="auto"/>
                <w:sz w:val="24"/>
              </w:rPr>
              <w:t>①施工期在枯水期12月~次年3月份进行，分段施工，每次施工完毕及时在枯水期拆除围堰，以尽量减少围堰开挖对地表水体的扰动。</w:t>
            </w:r>
          </w:p>
          <w:p>
            <w:pPr>
              <w:adjustRightInd w:val="0"/>
              <w:snapToGrid w:val="0"/>
              <w:spacing w:line="360" w:lineRule="auto"/>
              <w:ind w:firstLine="480" w:firstLineChars="200"/>
              <w:rPr>
                <w:color w:val="auto"/>
                <w:sz w:val="24"/>
              </w:rPr>
            </w:pPr>
            <w:r>
              <w:rPr>
                <w:color w:val="auto"/>
                <w:sz w:val="24"/>
              </w:rPr>
              <w:t>②避免在河道中挖沙、取石、改变水流流向，引起下游河道严重缺水甚至断流等行为和事件的发生，水下施工时，应提前驱赶相关水域鱼类，避免造成直接伤害。同时，科学调度，确保下游保持一定生态流量。</w:t>
            </w:r>
          </w:p>
          <w:p>
            <w:pPr>
              <w:adjustRightInd w:val="0"/>
              <w:snapToGrid w:val="0"/>
              <w:spacing w:line="360" w:lineRule="auto"/>
              <w:ind w:firstLine="480" w:firstLineChars="200"/>
              <w:rPr>
                <w:color w:val="auto"/>
                <w:sz w:val="24"/>
              </w:rPr>
            </w:pPr>
            <w:r>
              <w:rPr>
                <w:color w:val="auto"/>
                <w:sz w:val="24"/>
              </w:rPr>
              <w:t>③禁止随意倾倒废渣、施工废水、垃圾及其他废弃物；开挖斜坡裸露面采用防雨布临时遮盖，防止雨水冲刷产生水土流失。</w:t>
            </w:r>
          </w:p>
          <w:p>
            <w:pPr>
              <w:adjustRightInd w:val="0"/>
              <w:snapToGrid w:val="0"/>
              <w:spacing w:line="360" w:lineRule="auto"/>
              <w:ind w:firstLine="480" w:firstLineChars="200"/>
              <w:rPr>
                <w:color w:val="auto"/>
                <w:sz w:val="24"/>
              </w:rPr>
            </w:pPr>
            <w:r>
              <w:rPr>
                <w:color w:val="auto"/>
                <w:sz w:val="24"/>
              </w:rPr>
              <w:t>④建设单位施工人员在施工期内不得随意捕杀周边水域鱼类，不得随意排放污水及固废至周边水体中，尽可能减少对鱼类的影响。</w:t>
            </w:r>
          </w:p>
          <w:p>
            <w:pPr>
              <w:adjustRightInd w:val="0"/>
              <w:snapToGrid w:val="0"/>
              <w:spacing w:line="360" w:lineRule="auto"/>
              <w:ind w:firstLine="482" w:firstLineChars="200"/>
              <w:rPr>
                <w:b/>
                <w:bCs/>
                <w:color w:val="auto"/>
                <w:sz w:val="24"/>
              </w:rPr>
            </w:pPr>
            <w:r>
              <w:rPr>
                <w:b/>
                <w:bCs/>
                <w:color w:val="auto"/>
                <w:sz w:val="24"/>
              </w:rPr>
              <w:t>（2）建立鱼类保护应急机制</w:t>
            </w:r>
          </w:p>
          <w:p>
            <w:pPr>
              <w:adjustRightInd w:val="0"/>
              <w:snapToGrid w:val="0"/>
              <w:spacing w:line="360" w:lineRule="auto"/>
              <w:ind w:firstLine="480" w:firstLineChars="200"/>
              <w:rPr>
                <w:rFonts w:hint="eastAsia"/>
                <w:color w:val="auto"/>
                <w:sz w:val="24"/>
                <w:lang w:eastAsia="zh-CN"/>
              </w:rPr>
            </w:pPr>
            <w:r>
              <w:rPr>
                <w:color w:val="auto"/>
                <w:sz w:val="24"/>
              </w:rPr>
              <w:t>报告要求对施工围堰内的鱼类要及时捕捞、暂养、救治，并放归河道，对搁浅、受伤的鱼类及时救护，最大限度降低相关影响</w:t>
            </w:r>
            <w:r>
              <w:rPr>
                <w:rFonts w:hint="eastAsia"/>
                <w:color w:val="auto"/>
                <w:sz w:val="24"/>
                <w:lang w:eastAsia="zh-CN"/>
              </w:rPr>
              <w:t>。</w:t>
            </w:r>
          </w:p>
          <w:p>
            <w:pPr>
              <w:adjustRightInd w:val="0"/>
              <w:snapToGrid w:val="0"/>
              <w:spacing w:line="360" w:lineRule="auto"/>
              <w:ind w:firstLine="482" w:firstLineChars="200"/>
              <w:rPr>
                <w:b/>
                <w:bCs/>
                <w:color w:val="auto"/>
                <w:sz w:val="24"/>
              </w:rPr>
            </w:pPr>
            <w:r>
              <w:rPr>
                <w:rFonts w:hint="eastAsia"/>
                <w:b/>
                <w:bCs/>
                <w:color w:val="auto"/>
                <w:sz w:val="24"/>
                <w:lang w:val="en-US" w:eastAsia="zh-CN"/>
              </w:rPr>
              <w:t>项目施工期已基本结束，施工单位严格按照上述要求执行生态环境保护措施，项目施工期对周边生态环境影响较小，且已结束</w:t>
            </w:r>
            <w:r>
              <w:rPr>
                <w:b/>
                <w:bCs/>
                <w:color w:val="auto"/>
                <w:sz w:val="24"/>
              </w:rPr>
              <w:t>。</w:t>
            </w:r>
          </w:p>
          <w:p>
            <w:pPr>
              <w:adjustRightInd w:val="0"/>
              <w:snapToGrid w:val="0"/>
              <w:spacing w:line="360" w:lineRule="auto"/>
              <w:rPr>
                <w:b/>
                <w:color w:val="auto"/>
                <w:spacing w:val="-10"/>
                <w:sz w:val="24"/>
              </w:rPr>
            </w:pPr>
            <w:r>
              <w:rPr>
                <w:b/>
                <w:color w:val="auto"/>
                <w:spacing w:val="-10"/>
                <w:sz w:val="24"/>
              </w:rPr>
              <w:t>二、施工期大气环境保护措施</w:t>
            </w:r>
          </w:p>
          <w:p>
            <w:pPr>
              <w:adjustRightInd w:val="0"/>
              <w:snapToGrid w:val="0"/>
              <w:spacing w:line="360" w:lineRule="auto"/>
              <w:ind w:firstLine="482" w:firstLineChars="200"/>
              <w:rPr>
                <w:b/>
                <w:color w:val="auto"/>
                <w:sz w:val="24"/>
              </w:rPr>
            </w:pPr>
            <w:r>
              <w:rPr>
                <w:b/>
                <w:color w:val="auto"/>
                <w:sz w:val="24"/>
              </w:rPr>
              <w:t>1、扬尘环境保护措施</w:t>
            </w:r>
          </w:p>
          <w:p>
            <w:pPr>
              <w:adjustRightInd w:val="0"/>
              <w:snapToGrid w:val="0"/>
              <w:spacing w:line="360" w:lineRule="auto"/>
              <w:ind w:firstLine="480" w:firstLineChars="200"/>
              <w:rPr>
                <w:color w:val="auto"/>
                <w:sz w:val="24"/>
              </w:rPr>
            </w:pPr>
            <w:r>
              <w:rPr>
                <w:bCs/>
                <w:color w:val="auto"/>
                <w:sz w:val="24"/>
              </w:rPr>
              <w:t>根据设计资料及《四川省&lt;中华人民共和国大气污染防治法&gt;实施办法》（2019年1月1日实施）</w:t>
            </w:r>
            <w:r>
              <w:rPr>
                <w:color w:val="auto"/>
                <w:sz w:val="24"/>
              </w:rPr>
              <w:t>做好施工期扬尘的防治措施，以尽可能地降低扬尘的污染。</w:t>
            </w:r>
          </w:p>
          <w:p>
            <w:pPr>
              <w:adjustRightInd w:val="0"/>
              <w:snapToGrid w:val="0"/>
              <w:spacing w:line="360" w:lineRule="auto"/>
              <w:ind w:firstLine="480" w:firstLineChars="200"/>
              <w:rPr>
                <w:color w:val="auto"/>
                <w:sz w:val="24"/>
              </w:rPr>
            </w:pPr>
            <w:r>
              <w:rPr>
                <w:color w:val="auto"/>
                <w:sz w:val="24"/>
              </w:rPr>
              <w:fldChar w:fldCharType="begin"/>
            </w:r>
            <w:r>
              <w:rPr>
                <w:color w:val="auto"/>
                <w:sz w:val="24"/>
              </w:rPr>
              <w:instrText xml:space="preserve"> = 1 \* GB3 </w:instrText>
            </w:r>
            <w:r>
              <w:rPr>
                <w:color w:val="auto"/>
                <w:sz w:val="24"/>
              </w:rPr>
              <w:fldChar w:fldCharType="separate"/>
            </w:r>
            <w:r>
              <w:rPr>
                <w:color w:val="auto"/>
                <w:sz w:val="24"/>
              </w:rPr>
              <w:t>①</w:t>
            </w:r>
            <w:r>
              <w:rPr>
                <w:color w:val="auto"/>
                <w:sz w:val="24"/>
              </w:rPr>
              <w:fldChar w:fldCharType="end"/>
            </w:r>
            <w:r>
              <w:rPr>
                <w:color w:val="auto"/>
                <w:sz w:val="24"/>
              </w:rPr>
              <w:t>施工方应严格遵守当地相关的扬尘污染防治管理办法，做好扬尘防护工作，环评要求不准裸露野蛮施工，在风速大于四级时应停止挖、填土方作业，并对作业处覆以防尘布；开挖土方应集中堆放，缩小粉尘影响范围，及时回填，减少粉尘影响时间。</w:t>
            </w:r>
          </w:p>
          <w:p>
            <w:pPr>
              <w:adjustRightInd w:val="0"/>
              <w:snapToGrid w:val="0"/>
              <w:spacing w:line="360" w:lineRule="auto"/>
              <w:ind w:firstLine="480" w:firstLineChars="200"/>
              <w:rPr>
                <w:color w:val="auto"/>
                <w:sz w:val="24"/>
              </w:rPr>
            </w:pPr>
            <w:r>
              <w:rPr>
                <w:color w:val="auto"/>
                <w:sz w:val="24"/>
              </w:rPr>
              <w:fldChar w:fldCharType="begin"/>
            </w:r>
            <w:r>
              <w:rPr>
                <w:color w:val="auto"/>
                <w:sz w:val="24"/>
              </w:rPr>
              <w:instrText xml:space="preserve"> = 2 \* GB3 </w:instrText>
            </w:r>
            <w:r>
              <w:rPr>
                <w:color w:val="auto"/>
                <w:sz w:val="24"/>
              </w:rPr>
              <w:fldChar w:fldCharType="separate"/>
            </w:r>
            <w:r>
              <w:rPr>
                <w:color w:val="auto"/>
                <w:sz w:val="24"/>
              </w:rPr>
              <w:t>②</w:t>
            </w:r>
            <w:r>
              <w:rPr>
                <w:color w:val="auto"/>
                <w:sz w:val="24"/>
              </w:rPr>
              <w:fldChar w:fldCharType="end"/>
            </w:r>
            <w:r>
              <w:rPr>
                <w:color w:val="auto"/>
                <w:sz w:val="24"/>
              </w:rPr>
              <w:t>加强施工现场及其周边环境卫生管理，防止生活垃圾扩散污染周边环境卫生，施工道路及作业场地应坚实平整，保证无浮土、无积水。</w:t>
            </w:r>
          </w:p>
          <w:p>
            <w:pPr>
              <w:adjustRightInd w:val="0"/>
              <w:snapToGrid w:val="0"/>
              <w:spacing w:line="360" w:lineRule="auto"/>
              <w:ind w:firstLine="480" w:firstLineChars="200"/>
              <w:rPr>
                <w:color w:val="auto"/>
                <w:sz w:val="24"/>
              </w:rPr>
            </w:pPr>
            <w:r>
              <w:rPr>
                <w:color w:val="auto"/>
                <w:sz w:val="24"/>
              </w:rPr>
              <w:fldChar w:fldCharType="begin"/>
            </w:r>
            <w:r>
              <w:rPr>
                <w:color w:val="auto"/>
                <w:sz w:val="24"/>
              </w:rPr>
              <w:instrText xml:space="preserve"> = 3 \* GB3 </w:instrText>
            </w:r>
            <w:r>
              <w:rPr>
                <w:color w:val="auto"/>
                <w:sz w:val="24"/>
              </w:rPr>
              <w:fldChar w:fldCharType="separate"/>
            </w:r>
            <w:r>
              <w:rPr>
                <w:color w:val="auto"/>
                <w:sz w:val="24"/>
              </w:rPr>
              <w:t>③</w:t>
            </w:r>
            <w:r>
              <w:rPr>
                <w:color w:val="auto"/>
                <w:sz w:val="24"/>
              </w:rPr>
              <w:fldChar w:fldCharType="end"/>
            </w:r>
            <w:r>
              <w:rPr>
                <w:color w:val="auto"/>
                <w:sz w:val="24"/>
              </w:rPr>
              <w:t>施工区干道车辆实行限速行驶，从事土方等固废的运输，必须使用密闭式运输车辆，以防运输过程中撒落引起二次扬尘。</w:t>
            </w:r>
          </w:p>
          <w:p>
            <w:pPr>
              <w:adjustRightInd w:val="0"/>
              <w:snapToGrid w:val="0"/>
              <w:spacing w:line="360" w:lineRule="auto"/>
              <w:ind w:firstLine="480" w:firstLineChars="200"/>
              <w:rPr>
                <w:color w:val="auto"/>
                <w:sz w:val="24"/>
              </w:rPr>
            </w:pPr>
            <w:r>
              <w:rPr>
                <w:color w:val="auto"/>
                <w:sz w:val="24"/>
                <w:lang w:eastAsia="ja-JP"/>
              </w:rPr>
              <w:t>④</w:t>
            </w:r>
            <w:r>
              <w:rPr>
                <w:color w:val="auto"/>
                <w:sz w:val="24"/>
              </w:rPr>
              <w:t>在施工现场出入口公示施工负责人、扬尘污染控制措施、主管部门以及举报电话等信息，接受社会监督；　</w:t>
            </w:r>
          </w:p>
          <w:p>
            <w:pPr>
              <w:adjustRightInd w:val="0"/>
              <w:snapToGrid w:val="0"/>
              <w:spacing w:line="360" w:lineRule="auto"/>
              <w:ind w:firstLine="480" w:firstLineChars="200"/>
              <w:rPr>
                <w:color w:val="auto"/>
                <w:sz w:val="24"/>
              </w:rPr>
            </w:pPr>
            <w:r>
              <w:rPr>
                <w:color w:val="auto"/>
                <w:sz w:val="24"/>
              </w:rPr>
              <w:t>⑤施工工地设置围墙或者硬质密闭围挡，并对围挡进行维护；</w:t>
            </w:r>
          </w:p>
          <w:p>
            <w:pPr>
              <w:adjustRightInd w:val="0"/>
              <w:snapToGrid w:val="0"/>
              <w:spacing w:line="360" w:lineRule="auto"/>
              <w:ind w:firstLine="480" w:firstLineChars="200"/>
              <w:rPr>
                <w:color w:val="auto"/>
                <w:sz w:val="24"/>
              </w:rPr>
            </w:pPr>
            <w:r>
              <w:rPr>
                <w:color w:val="auto"/>
                <w:sz w:val="24"/>
              </w:rPr>
              <w:t>⑥对施工现场进出口通道、场内道路，以及材料存放区、加工区等场所地坪硬化，对其他场地进行覆盖或者临时绿化，对土方集中堆放并按照规范覆盖或者固化；</w:t>
            </w:r>
          </w:p>
          <w:p>
            <w:pPr>
              <w:adjustRightInd w:val="0"/>
              <w:snapToGrid w:val="0"/>
              <w:spacing w:line="360" w:lineRule="auto"/>
              <w:ind w:firstLine="480" w:firstLineChars="200"/>
              <w:rPr>
                <w:color w:val="auto"/>
                <w:sz w:val="24"/>
              </w:rPr>
            </w:pPr>
            <w:r>
              <w:rPr>
                <w:color w:val="auto"/>
                <w:sz w:val="24"/>
              </w:rPr>
              <w:t>⑦施工现场出入口应当设置车辆冲洗设施，施工及运输车辆经除泥、冲洗后方能驶出工地，不得带泥上路；</w:t>
            </w:r>
          </w:p>
          <w:p>
            <w:pPr>
              <w:adjustRightInd w:val="0"/>
              <w:snapToGrid w:val="0"/>
              <w:spacing w:line="360" w:lineRule="auto"/>
              <w:ind w:firstLine="480" w:firstLineChars="200"/>
              <w:rPr>
                <w:color w:val="auto"/>
                <w:sz w:val="24"/>
              </w:rPr>
            </w:pPr>
            <w:r>
              <w:rPr>
                <w:color w:val="auto"/>
                <w:sz w:val="24"/>
              </w:rPr>
              <w:t>⑧拆除工程拆除作业、挖掘机开挖作业时，应当使用洒水或者喷淋等降尘措施；</w:t>
            </w:r>
          </w:p>
          <w:p>
            <w:pPr>
              <w:adjustRightInd w:val="0"/>
              <w:snapToGrid w:val="0"/>
              <w:spacing w:line="360" w:lineRule="auto"/>
              <w:ind w:firstLine="480" w:firstLineChars="200"/>
              <w:rPr>
                <w:color w:val="auto"/>
                <w:sz w:val="24"/>
              </w:rPr>
            </w:pPr>
            <w:r>
              <w:rPr>
                <w:color w:val="auto"/>
                <w:sz w:val="24"/>
              </w:rPr>
              <w:t>⑨临时堆土场四周加围挡安装喷雾降尘装置，喷雾洒水降尘，同时在临时堆场表面覆盖防尘网。</w:t>
            </w:r>
          </w:p>
          <w:p>
            <w:pPr>
              <w:adjustRightInd w:val="0"/>
              <w:snapToGrid w:val="0"/>
              <w:spacing w:line="360" w:lineRule="auto"/>
              <w:ind w:firstLine="480" w:firstLineChars="200"/>
              <w:rPr>
                <w:color w:val="auto"/>
                <w:sz w:val="24"/>
              </w:rPr>
            </w:pPr>
            <w:r>
              <w:rPr>
                <w:color w:val="auto"/>
                <w:sz w:val="24"/>
              </w:rPr>
              <w:t>⑨施工车辆材料运输、疏浚物料运输过程中应加盖篷布，密闭运输，减少对运输道路沿线居民的影响。</w:t>
            </w:r>
          </w:p>
          <w:p>
            <w:pPr>
              <w:adjustRightInd w:val="0"/>
              <w:snapToGrid w:val="0"/>
              <w:spacing w:line="360" w:lineRule="auto"/>
              <w:ind w:firstLine="480" w:firstLineChars="200"/>
              <w:rPr>
                <w:rFonts w:eastAsia="Yu Mincho"/>
                <w:color w:val="auto"/>
                <w:sz w:val="24"/>
                <w:lang w:eastAsia="ja-JP"/>
              </w:rPr>
            </w:pPr>
            <w:r>
              <w:rPr>
                <w:color w:val="auto"/>
                <w:sz w:val="24"/>
              </w:rPr>
              <w:t>⑩对主要施工运输道路每天不低于四次洒水降尘，降低粉尘对沿线居民敏感点的影响。</w:t>
            </w:r>
          </w:p>
          <w:p>
            <w:pPr>
              <w:adjustRightInd w:val="0"/>
              <w:snapToGrid w:val="0"/>
              <w:spacing w:line="360" w:lineRule="auto"/>
              <w:ind w:firstLine="480" w:firstLineChars="200"/>
              <w:rPr>
                <w:color w:val="auto"/>
                <w:sz w:val="24"/>
              </w:rPr>
            </w:pPr>
            <w:r>
              <w:rPr>
                <w:color w:val="auto"/>
                <w:sz w:val="24"/>
              </w:rPr>
              <w:t>类比分析同类型开采项目，在采取上述措施后，TSP满足《四川省施工场地扬尘排放标准》(DB51/2682-2020)“拆除工程/土方开挖/ 土方回填阶段”无组织排放限值（0.6mg/m</w:t>
            </w:r>
            <w:r>
              <w:rPr>
                <w:color w:val="auto"/>
                <w:sz w:val="24"/>
                <w:vertAlign w:val="superscript"/>
              </w:rPr>
              <w:t>3</w:t>
            </w:r>
            <w:r>
              <w:rPr>
                <w:color w:val="auto"/>
                <w:sz w:val="24"/>
              </w:rPr>
              <w:t>）。</w:t>
            </w:r>
          </w:p>
          <w:p>
            <w:pPr>
              <w:adjustRightInd w:val="0"/>
              <w:snapToGrid w:val="0"/>
              <w:spacing w:line="360" w:lineRule="auto"/>
              <w:ind w:firstLine="482" w:firstLineChars="200"/>
              <w:rPr>
                <w:b/>
                <w:color w:val="auto"/>
                <w:sz w:val="24"/>
              </w:rPr>
            </w:pPr>
            <w:r>
              <w:rPr>
                <w:b/>
                <w:color w:val="auto"/>
                <w:sz w:val="24"/>
              </w:rPr>
              <w:t>2、</w:t>
            </w:r>
            <w:r>
              <w:rPr>
                <w:b/>
                <w:bCs/>
                <w:color w:val="auto"/>
                <w:sz w:val="24"/>
              </w:rPr>
              <w:t>燃油废气</w:t>
            </w:r>
            <w:r>
              <w:rPr>
                <w:b/>
                <w:color w:val="auto"/>
                <w:sz w:val="24"/>
              </w:rPr>
              <w:t>、汽车尾气环境保护措施</w:t>
            </w:r>
          </w:p>
          <w:p>
            <w:pPr>
              <w:adjustRightInd w:val="0"/>
              <w:snapToGrid w:val="0"/>
              <w:spacing w:line="360" w:lineRule="auto"/>
              <w:ind w:firstLine="480" w:firstLineChars="200"/>
              <w:rPr>
                <w:color w:val="auto"/>
                <w:sz w:val="24"/>
              </w:rPr>
            </w:pPr>
            <w:r>
              <w:rPr>
                <w:color w:val="auto"/>
                <w:sz w:val="24"/>
              </w:rPr>
              <w:t>施工期间，燃油设备主要是施工机械和运输车辆，其排放的尾气在施工期间对施工作业点和运输道路附近的大气环境会造成一定程度的污染，主要污染物为</w:t>
            </w:r>
            <w:r>
              <w:rPr>
                <w:rFonts w:eastAsia="TimesNewRomanPSMT"/>
                <w:color w:val="auto"/>
                <w:sz w:val="24"/>
              </w:rPr>
              <w:t>CO</w:t>
            </w:r>
            <w:r>
              <w:rPr>
                <w:color w:val="auto"/>
                <w:sz w:val="24"/>
              </w:rPr>
              <w:t>、</w:t>
            </w:r>
            <w:r>
              <w:rPr>
                <w:rFonts w:eastAsia="TimesNewRomanPSMT"/>
                <w:color w:val="auto"/>
                <w:sz w:val="24"/>
              </w:rPr>
              <w:t>NOx</w:t>
            </w:r>
            <w:r>
              <w:rPr>
                <w:color w:val="auto"/>
                <w:sz w:val="24"/>
              </w:rPr>
              <w:t>以及未完全燃烧的</w:t>
            </w:r>
            <w:r>
              <w:rPr>
                <w:rFonts w:eastAsia="TimesNewRomanPSMT"/>
                <w:color w:val="auto"/>
                <w:sz w:val="24"/>
              </w:rPr>
              <w:t xml:space="preserve">THC </w:t>
            </w:r>
            <w:r>
              <w:rPr>
                <w:color w:val="auto"/>
                <w:sz w:val="24"/>
              </w:rPr>
              <w:t>等。由于其属间断性无组织排放，特点是排放量小，加之施工场地开阔，扩散条件良好，对其不加处理也可达到相应的排放标准。</w:t>
            </w:r>
          </w:p>
          <w:p>
            <w:pPr>
              <w:adjustRightInd w:val="0"/>
              <w:snapToGrid w:val="0"/>
              <w:spacing w:line="360" w:lineRule="auto"/>
              <w:ind w:firstLine="480" w:firstLineChars="200"/>
              <w:rPr>
                <w:color w:val="auto"/>
                <w:sz w:val="24"/>
              </w:rPr>
            </w:pPr>
            <w:r>
              <w:rPr>
                <w:color w:val="auto"/>
                <w:sz w:val="24"/>
              </w:rPr>
              <w:t>针对项目实际情况考虑，本环评提出以下燃油废气治理措施：</w:t>
            </w:r>
          </w:p>
          <w:p>
            <w:pPr>
              <w:adjustRightInd w:val="0"/>
              <w:snapToGrid w:val="0"/>
              <w:spacing w:line="360" w:lineRule="auto"/>
              <w:ind w:firstLine="480" w:firstLineChars="200"/>
              <w:rPr>
                <w:color w:val="auto"/>
                <w:sz w:val="24"/>
              </w:rPr>
            </w:pPr>
            <w:r>
              <w:rPr>
                <w:color w:val="auto"/>
                <w:sz w:val="24"/>
              </w:rPr>
              <w:t>（1）所有施工机械设备进场前应完成大修及保养；</w:t>
            </w:r>
          </w:p>
          <w:p>
            <w:pPr>
              <w:adjustRightInd w:val="0"/>
              <w:snapToGrid w:val="0"/>
              <w:spacing w:line="360" w:lineRule="auto"/>
              <w:ind w:firstLine="480" w:firstLineChars="200"/>
              <w:rPr>
                <w:color w:val="auto"/>
                <w:sz w:val="24"/>
              </w:rPr>
            </w:pPr>
            <w:r>
              <w:rPr>
                <w:color w:val="auto"/>
                <w:sz w:val="24"/>
              </w:rPr>
              <w:t>（2）采用清洁能源如电、天然气、0#柴油等，禁止使用燃煤；</w:t>
            </w:r>
          </w:p>
          <w:p>
            <w:pPr>
              <w:adjustRightInd w:val="0"/>
              <w:snapToGrid w:val="0"/>
              <w:spacing w:line="360" w:lineRule="auto"/>
              <w:ind w:firstLine="480" w:firstLineChars="200"/>
              <w:rPr>
                <w:color w:val="auto"/>
                <w:sz w:val="24"/>
              </w:rPr>
            </w:pPr>
            <w:r>
              <w:rPr>
                <w:color w:val="auto"/>
                <w:sz w:val="24"/>
              </w:rPr>
              <w:t>（3）加强施工机械和运输车辆的检修维护，提高燃料的利用率；</w:t>
            </w:r>
          </w:p>
          <w:p>
            <w:pPr>
              <w:adjustRightInd w:val="0"/>
              <w:snapToGrid w:val="0"/>
              <w:spacing w:line="360" w:lineRule="auto"/>
              <w:ind w:firstLine="480" w:firstLineChars="200"/>
              <w:rPr>
                <w:color w:val="auto"/>
                <w:sz w:val="24"/>
              </w:rPr>
            </w:pPr>
            <w:r>
              <w:rPr>
                <w:color w:val="auto"/>
                <w:sz w:val="24"/>
              </w:rPr>
              <w:t>（4）对于燃烧柴油的大型运输车辆、挖掘机等，尾气排放量与污染物含量均高于燃烧汽油的车辆，要求尾气不达标的车辆和设备安装尾气净化器，不得使用劣质燃料，确保尾气达标排放。</w:t>
            </w:r>
          </w:p>
          <w:p>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此外，项目施工期淤料晾晒过程产生少量异味，但临时堆场距离周边居民较远，施工过程未受到周边居民投诉。</w:t>
            </w:r>
          </w:p>
          <w:p>
            <w:pPr>
              <w:adjustRightInd w:val="0"/>
              <w:snapToGrid w:val="0"/>
              <w:spacing w:line="360" w:lineRule="auto"/>
              <w:ind w:firstLine="482" w:firstLineChars="200"/>
              <w:rPr>
                <w:b/>
                <w:bCs/>
                <w:color w:val="auto"/>
                <w:sz w:val="24"/>
              </w:rPr>
            </w:pPr>
            <w:r>
              <w:rPr>
                <w:rFonts w:hint="eastAsia"/>
                <w:b/>
                <w:bCs/>
                <w:color w:val="auto"/>
                <w:sz w:val="24"/>
                <w:lang w:val="en-US" w:eastAsia="zh-CN"/>
              </w:rPr>
              <w:t>施工单位严格</w:t>
            </w:r>
            <w:r>
              <w:rPr>
                <w:b/>
                <w:bCs/>
                <w:color w:val="auto"/>
                <w:sz w:val="24"/>
              </w:rPr>
              <w:t>落实</w:t>
            </w:r>
            <w:r>
              <w:rPr>
                <w:rFonts w:hint="eastAsia"/>
                <w:b/>
                <w:bCs/>
                <w:color w:val="auto"/>
                <w:sz w:val="24"/>
                <w:lang w:eastAsia="zh-CN"/>
              </w:rPr>
              <w:t>了</w:t>
            </w:r>
            <w:r>
              <w:rPr>
                <w:rFonts w:hint="eastAsia"/>
                <w:b/>
                <w:bCs/>
                <w:color w:val="auto"/>
                <w:sz w:val="24"/>
                <w:lang w:val="en-US" w:eastAsia="zh-CN"/>
              </w:rPr>
              <w:t>上述</w:t>
            </w:r>
            <w:r>
              <w:rPr>
                <w:b/>
                <w:bCs/>
                <w:color w:val="auto"/>
                <w:sz w:val="24"/>
              </w:rPr>
              <w:t>各项治理措施，</w:t>
            </w:r>
            <w:r>
              <w:rPr>
                <w:rFonts w:hint="eastAsia"/>
                <w:b/>
                <w:bCs/>
                <w:color w:val="auto"/>
                <w:sz w:val="24"/>
                <w:lang w:val="en-US" w:eastAsia="zh-CN"/>
              </w:rPr>
              <w:t>施工期</w:t>
            </w:r>
            <w:r>
              <w:rPr>
                <w:b/>
                <w:bCs/>
                <w:color w:val="auto"/>
                <w:sz w:val="24"/>
              </w:rPr>
              <w:t>废气</w:t>
            </w:r>
            <w:r>
              <w:rPr>
                <w:rFonts w:hint="eastAsia"/>
                <w:b/>
                <w:bCs/>
                <w:color w:val="auto"/>
                <w:sz w:val="24"/>
                <w:lang w:val="en-US" w:eastAsia="zh-CN"/>
              </w:rPr>
              <w:t>未对</w:t>
            </w:r>
            <w:r>
              <w:rPr>
                <w:b/>
                <w:bCs/>
                <w:color w:val="auto"/>
                <w:sz w:val="24"/>
              </w:rPr>
              <w:t>项目区域内的大气环境造成较大影响。</w:t>
            </w:r>
          </w:p>
          <w:p>
            <w:pPr>
              <w:adjustRightInd w:val="0"/>
              <w:snapToGrid w:val="0"/>
              <w:spacing w:line="360" w:lineRule="auto"/>
              <w:rPr>
                <w:b/>
                <w:color w:val="auto"/>
                <w:spacing w:val="-10"/>
                <w:sz w:val="24"/>
              </w:rPr>
            </w:pPr>
            <w:r>
              <w:rPr>
                <w:b/>
                <w:color w:val="auto"/>
                <w:spacing w:val="-10"/>
                <w:sz w:val="24"/>
              </w:rPr>
              <w:t>三、施工期水环境保护措施</w:t>
            </w:r>
          </w:p>
          <w:p>
            <w:pPr>
              <w:adjustRightInd w:val="0"/>
              <w:snapToGrid w:val="0"/>
              <w:spacing w:line="360" w:lineRule="auto"/>
              <w:ind w:firstLine="480" w:firstLineChars="200"/>
              <w:rPr>
                <w:color w:val="auto"/>
                <w:sz w:val="24"/>
              </w:rPr>
            </w:pPr>
            <w:r>
              <w:rPr>
                <w:color w:val="auto"/>
                <w:sz w:val="24"/>
              </w:rPr>
              <w:t>本项目不设置机修点，主要利用项目周边场镇上已有的机修点及洗车场解决维修，无机修废水产生。施工期废水主要为施工人员生活污水以及施工废水，施工废水主要为基坑初期排水，机械设备冲洗废水和淤料脱水废水。</w:t>
            </w:r>
          </w:p>
          <w:p>
            <w:pPr>
              <w:adjustRightInd w:val="0"/>
              <w:snapToGrid w:val="0"/>
              <w:spacing w:line="360" w:lineRule="auto"/>
              <w:ind w:firstLine="482" w:firstLineChars="200"/>
              <w:rPr>
                <w:color w:val="auto"/>
                <w:sz w:val="24"/>
              </w:rPr>
            </w:pPr>
            <w:r>
              <w:rPr>
                <w:b/>
                <w:color w:val="auto"/>
                <w:sz w:val="24"/>
              </w:rPr>
              <w:t>生活污水：</w:t>
            </w:r>
            <w:r>
              <w:rPr>
                <w:color w:val="auto"/>
                <w:sz w:val="24"/>
              </w:rPr>
              <w:t>施工高峰期有施工人员60人/d，施工期生活污水产生量约4.8m</w:t>
            </w:r>
            <w:r>
              <w:rPr>
                <w:color w:val="auto"/>
                <w:sz w:val="24"/>
                <w:vertAlign w:val="superscript"/>
              </w:rPr>
              <w:t>3</w:t>
            </w:r>
            <w:r>
              <w:rPr>
                <w:color w:val="auto"/>
                <w:sz w:val="24"/>
              </w:rPr>
              <w:t>/d，其主要污染因子为COD、NH</w:t>
            </w:r>
            <w:r>
              <w:rPr>
                <w:color w:val="auto"/>
                <w:sz w:val="24"/>
                <w:vertAlign w:val="subscript"/>
              </w:rPr>
              <w:t>3</w:t>
            </w:r>
            <w:r>
              <w:rPr>
                <w:color w:val="auto"/>
                <w:sz w:val="24"/>
              </w:rPr>
              <w:t>-N 等。本项目不单独设置集中施工营地，项目施工人员分散居住在工程周围居民家中，施工期产生的生活污水依托租用居民房屋已建化粪池处理后用于周边农田及林地施肥，不外排，不会对周围环境产生影响。</w:t>
            </w:r>
          </w:p>
          <w:p>
            <w:pPr>
              <w:adjustRightInd w:val="0"/>
              <w:snapToGrid w:val="0"/>
              <w:spacing w:line="360" w:lineRule="auto"/>
              <w:ind w:firstLine="482" w:firstLineChars="200"/>
              <w:rPr>
                <w:color w:val="auto"/>
                <w:sz w:val="24"/>
              </w:rPr>
            </w:pPr>
            <w:r>
              <w:rPr>
                <w:b/>
                <w:bCs/>
                <w:color w:val="auto"/>
                <w:sz w:val="24"/>
              </w:rPr>
              <w:t>围堰初期基坑排水：</w:t>
            </w:r>
            <w:r>
              <w:rPr>
                <w:color w:val="auto"/>
                <w:sz w:val="24"/>
              </w:rPr>
              <w:t>报告要求建设单位在围堰内低洼处设置沉淀池，将围堰基坑污水进行集中收集和沉淀，沉淀后的基坑污水在满足用水条件下回用于施工中的洒水降尘和作为施工场地车辆车轮冲洗补充水等，不能回用的基坑水经多级沉淀后自然溢流至工程区段下游。</w:t>
            </w:r>
          </w:p>
          <w:p>
            <w:pPr>
              <w:adjustRightInd w:val="0"/>
              <w:snapToGrid w:val="0"/>
              <w:spacing w:line="360" w:lineRule="auto"/>
              <w:ind w:firstLine="482" w:firstLineChars="200"/>
              <w:rPr>
                <w:color w:val="auto"/>
                <w:sz w:val="24"/>
              </w:rPr>
            </w:pPr>
            <w:r>
              <w:rPr>
                <w:b/>
                <w:bCs/>
                <w:color w:val="auto"/>
                <w:sz w:val="24"/>
              </w:rPr>
              <w:t>设备冲洗水：</w:t>
            </w:r>
            <w:r>
              <w:rPr>
                <w:color w:val="auto"/>
                <w:sz w:val="24"/>
              </w:rPr>
              <w:t>机械设备产生的冲洗废水拟在施工场地机械设备场旁边设置10m</w:t>
            </w:r>
            <w:r>
              <w:rPr>
                <w:color w:val="auto"/>
                <w:sz w:val="24"/>
                <w:vertAlign w:val="superscript"/>
              </w:rPr>
              <w:t>3</w:t>
            </w:r>
            <w:r>
              <w:rPr>
                <w:color w:val="auto"/>
                <w:sz w:val="24"/>
              </w:rPr>
              <w:t>沉淀池进行处理，冲洗废水通过沉淀之后回用于施工车辆车轮冲洗过程中，循环使用，不外排。</w:t>
            </w:r>
          </w:p>
          <w:p>
            <w:pPr>
              <w:adjustRightInd w:val="0"/>
              <w:snapToGrid w:val="0"/>
              <w:spacing w:line="360" w:lineRule="auto"/>
              <w:ind w:firstLine="482" w:firstLineChars="200"/>
              <w:rPr>
                <w:color w:val="auto"/>
                <w:sz w:val="24"/>
              </w:rPr>
            </w:pPr>
            <w:r>
              <w:rPr>
                <w:b/>
                <w:bCs/>
                <w:color w:val="auto"/>
                <w:sz w:val="24"/>
              </w:rPr>
              <w:t>淤料脱水废水：</w:t>
            </w:r>
            <w:r>
              <w:rPr>
                <w:color w:val="auto"/>
                <w:sz w:val="24"/>
              </w:rPr>
              <w:t>开挖的清淤料运输至临时堆料场脱水暂存，清淤料经</w:t>
            </w:r>
            <w:r>
              <w:rPr>
                <w:rFonts w:hint="eastAsia"/>
                <w:color w:val="auto"/>
                <w:sz w:val="24"/>
                <w:lang w:val="en-US" w:eastAsia="zh-CN"/>
              </w:rPr>
              <w:t>晾晒</w:t>
            </w:r>
            <w:r>
              <w:rPr>
                <w:color w:val="auto"/>
                <w:sz w:val="24"/>
              </w:rPr>
              <w:t>脱水处理后产生的废水，收集后由临时堆料场的沉淀池处理，用于厂内洒水降尘和车辆冲洗，不外排。</w:t>
            </w:r>
          </w:p>
          <w:p>
            <w:pPr>
              <w:adjustRightInd w:val="0"/>
              <w:snapToGrid w:val="0"/>
              <w:spacing w:line="360" w:lineRule="auto"/>
              <w:ind w:firstLine="482" w:firstLineChars="200"/>
              <w:rPr>
                <w:bCs/>
                <w:color w:val="auto"/>
                <w:sz w:val="24"/>
              </w:rPr>
            </w:pPr>
            <w:r>
              <w:rPr>
                <w:b/>
                <w:color w:val="auto"/>
                <w:sz w:val="24"/>
              </w:rPr>
              <w:t>地表水水质影响减缓措施：</w:t>
            </w:r>
            <w:r>
              <w:rPr>
                <w:bCs/>
                <w:color w:val="auto"/>
                <w:sz w:val="24"/>
              </w:rPr>
              <w:t>疏浚开挖段设置围堰导流，堤基、基础围堰的开挖和拆除、围堰开挖均在12月~次年3月份的枯水期进行，以尽量减少对地表水体的扰动。</w:t>
            </w:r>
          </w:p>
          <w:p>
            <w:pPr>
              <w:adjustRightInd w:val="0"/>
              <w:snapToGrid w:val="0"/>
              <w:spacing w:line="360" w:lineRule="auto"/>
              <w:ind w:firstLine="482" w:firstLineChars="200"/>
              <w:rPr>
                <w:color w:val="auto"/>
                <w:sz w:val="24"/>
              </w:rPr>
            </w:pPr>
            <w:r>
              <w:rPr>
                <w:rFonts w:hint="eastAsia"/>
                <w:b/>
                <w:bCs/>
                <w:color w:val="auto"/>
                <w:sz w:val="24"/>
                <w:lang w:val="en-US" w:eastAsia="zh-CN"/>
              </w:rPr>
              <w:t>施工单位严格</w:t>
            </w:r>
            <w:r>
              <w:rPr>
                <w:b/>
                <w:bCs/>
                <w:color w:val="auto"/>
                <w:sz w:val="24"/>
              </w:rPr>
              <w:t>落实</w:t>
            </w:r>
            <w:r>
              <w:rPr>
                <w:rFonts w:hint="eastAsia"/>
                <w:b/>
                <w:bCs/>
                <w:color w:val="auto"/>
                <w:sz w:val="24"/>
                <w:lang w:eastAsia="zh-CN"/>
              </w:rPr>
              <w:t>了</w:t>
            </w:r>
            <w:r>
              <w:rPr>
                <w:rFonts w:hint="eastAsia"/>
                <w:b/>
                <w:bCs/>
                <w:color w:val="auto"/>
                <w:sz w:val="24"/>
                <w:lang w:val="en-US" w:eastAsia="zh-CN"/>
              </w:rPr>
              <w:t>上述</w:t>
            </w:r>
            <w:r>
              <w:rPr>
                <w:b/>
                <w:bCs/>
                <w:color w:val="auto"/>
                <w:sz w:val="24"/>
              </w:rPr>
              <w:t>各项治理措施，</w:t>
            </w:r>
            <w:r>
              <w:rPr>
                <w:rFonts w:hint="eastAsia"/>
                <w:b/>
                <w:bCs/>
                <w:color w:val="auto"/>
                <w:sz w:val="24"/>
                <w:lang w:val="en-US" w:eastAsia="zh-CN"/>
              </w:rPr>
              <w:t>施工期</w:t>
            </w:r>
            <w:r>
              <w:rPr>
                <w:b/>
                <w:bCs/>
                <w:color w:val="auto"/>
                <w:sz w:val="24"/>
              </w:rPr>
              <w:t>废气</w:t>
            </w:r>
            <w:r>
              <w:rPr>
                <w:rFonts w:hint="eastAsia"/>
                <w:b/>
                <w:bCs/>
                <w:color w:val="auto"/>
                <w:sz w:val="24"/>
                <w:lang w:val="en-US" w:eastAsia="zh-CN"/>
              </w:rPr>
              <w:t>未对</w:t>
            </w:r>
            <w:r>
              <w:rPr>
                <w:b/>
                <w:bCs/>
                <w:color w:val="auto"/>
                <w:sz w:val="24"/>
              </w:rPr>
              <w:t>项目区域内的</w:t>
            </w:r>
            <w:r>
              <w:rPr>
                <w:rFonts w:hint="eastAsia"/>
                <w:b/>
                <w:bCs/>
                <w:color w:val="auto"/>
                <w:sz w:val="24"/>
                <w:lang w:val="en-US" w:eastAsia="zh-CN"/>
              </w:rPr>
              <w:t>水</w:t>
            </w:r>
            <w:r>
              <w:rPr>
                <w:b/>
                <w:bCs/>
                <w:color w:val="auto"/>
                <w:sz w:val="24"/>
              </w:rPr>
              <w:t>环境造成较大影响。</w:t>
            </w:r>
          </w:p>
          <w:p>
            <w:pPr>
              <w:adjustRightInd w:val="0"/>
              <w:snapToGrid w:val="0"/>
              <w:spacing w:line="360" w:lineRule="auto"/>
              <w:rPr>
                <w:b/>
                <w:color w:val="auto"/>
                <w:spacing w:val="-10"/>
                <w:sz w:val="24"/>
              </w:rPr>
            </w:pPr>
            <w:r>
              <w:rPr>
                <w:b/>
                <w:color w:val="auto"/>
                <w:spacing w:val="-10"/>
                <w:sz w:val="24"/>
              </w:rPr>
              <w:t>四、施工期噪声环境保护措施</w:t>
            </w:r>
          </w:p>
          <w:p>
            <w:pPr>
              <w:adjustRightInd w:val="0"/>
              <w:snapToGrid w:val="0"/>
              <w:spacing w:line="360" w:lineRule="auto"/>
              <w:ind w:firstLine="482" w:firstLineChars="200"/>
              <w:rPr>
                <w:b/>
                <w:bCs/>
                <w:color w:val="auto"/>
                <w:sz w:val="24"/>
              </w:rPr>
            </w:pPr>
            <w:r>
              <w:rPr>
                <w:b/>
                <w:bCs/>
                <w:color w:val="auto"/>
                <w:sz w:val="24"/>
              </w:rPr>
              <w:t>施工期噪声环境保护措施如下：</w:t>
            </w:r>
          </w:p>
          <w:p>
            <w:pPr>
              <w:adjustRightInd w:val="0"/>
              <w:snapToGrid w:val="0"/>
              <w:spacing w:line="360" w:lineRule="auto"/>
              <w:ind w:firstLine="482"/>
              <w:rPr>
                <w:color w:val="auto"/>
                <w:sz w:val="24"/>
              </w:rPr>
            </w:pPr>
            <w:r>
              <w:rPr>
                <w:color w:val="auto"/>
                <w:sz w:val="24"/>
              </w:rPr>
              <w:t>（1）优先选用低噪声的施工设备，对动力机械设备和运输车辆进行定期的维修和养护；</w:t>
            </w:r>
          </w:p>
          <w:p>
            <w:pPr>
              <w:adjustRightInd w:val="0"/>
              <w:snapToGrid w:val="0"/>
              <w:spacing w:line="360" w:lineRule="auto"/>
              <w:ind w:firstLine="482"/>
              <w:rPr>
                <w:color w:val="auto"/>
                <w:sz w:val="24"/>
              </w:rPr>
            </w:pPr>
            <w:r>
              <w:rPr>
                <w:color w:val="auto"/>
                <w:sz w:val="24"/>
              </w:rPr>
              <w:t>（2）合理布局，高噪声设备尽量布置在施工区域中部，远离周边居民敏感点；</w:t>
            </w:r>
          </w:p>
          <w:p>
            <w:pPr>
              <w:adjustRightInd w:val="0"/>
              <w:snapToGrid w:val="0"/>
              <w:spacing w:line="360" w:lineRule="auto"/>
              <w:ind w:firstLine="482"/>
              <w:rPr>
                <w:color w:val="auto"/>
                <w:sz w:val="24"/>
              </w:rPr>
            </w:pPr>
            <w:r>
              <w:rPr>
                <w:color w:val="auto"/>
                <w:sz w:val="24"/>
              </w:rPr>
              <w:t>（3）合理安排运输路线和运输时间，夜间禁止运输；</w:t>
            </w:r>
          </w:p>
          <w:p>
            <w:pPr>
              <w:adjustRightInd w:val="0"/>
              <w:snapToGrid w:val="0"/>
              <w:spacing w:line="360" w:lineRule="auto"/>
              <w:ind w:firstLine="482"/>
              <w:rPr>
                <w:color w:val="auto"/>
                <w:sz w:val="24"/>
              </w:rPr>
            </w:pPr>
            <w:r>
              <w:rPr>
                <w:color w:val="auto"/>
                <w:sz w:val="24"/>
              </w:rPr>
              <w:t>（4）加强施工管理，合理安排作业时间，不在夜间施工，高噪声设备错峰作业，避免同时作业；</w:t>
            </w:r>
          </w:p>
          <w:p>
            <w:pPr>
              <w:adjustRightInd w:val="0"/>
              <w:snapToGrid w:val="0"/>
              <w:spacing w:line="360" w:lineRule="auto"/>
              <w:ind w:firstLine="482"/>
              <w:rPr>
                <w:color w:val="auto"/>
                <w:sz w:val="24"/>
              </w:rPr>
            </w:pPr>
            <w:r>
              <w:rPr>
                <w:color w:val="auto"/>
                <w:sz w:val="24"/>
              </w:rPr>
              <w:t>（5）合理布局施工场地，避免在同一地点安装大量动力机械设备，以避免局部声级过高。</w:t>
            </w:r>
          </w:p>
          <w:p>
            <w:pPr>
              <w:adjustRightInd w:val="0"/>
              <w:snapToGrid w:val="0"/>
              <w:spacing w:line="360" w:lineRule="auto"/>
              <w:ind w:firstLine="482"/>
              <w:rPr>
                <w:bCs/>
                <w:color w:val="auto"/>
                <w:kern w:val="0"/>
                <w:sz w:val="24"/>
              </w:rPr>
            </w:pPr>
            <w:r>
              <w:rPr>
                <w:bCs/>
                <w:color w:val="auto"/>
                <w:kern w:val="0"/>
                <w:sz w:val="24"/>
              </w:rPr>
              <w:t>（6）材料运输等汽车进场安排专人指挥，场内禁止运输车辆鸣笛。</w:t>
            </w:r>
          </w:p>
          <w:p>
            <w:pPr>
              <w:adjustRightInd w:val="0"/>
              <w:snapToGrid w:val="0"/>
              <w:spacing w:line="360" w:lineRule="auto"/>
              <w:ind w:firstLine="482"/>
              <w:rPr>
                <w:bCs/>
                <w:color w:val="auto"/>
                <w:kern w:val="0"/>
                <w:sz w:val="24"/>
              </w:rPr>
            </w:pPr>
            <w:r>
              <w:rPr>
                <w:bCs/>
                <w:color w:val="auto"/>
                <w:kern w:val="0"/>
                <w:sz w:val="24"/>
              </w:rPr>
              <w:t>（7）机械设备和运输车辆在进场前应完成大修及保养，同时定期进行检修和保养，以降低机械和车辆的非正常噪声。</w:t>
            </w:r>
          </w:p>
          <w:p>
            <w:pPr>
              <w:adjustRightInd w:val="0"/>
              <w:snapToGrid w:val="0"/>
              <w:spacing w:line="360" w:lineRule="auto"/>
              <w:ind w:firstLine="482"/>
              <w:rPr>
                <w:color w:val="auto"/>
                <w:sz w:val="24"/>
              </w:rPr>
            </w:pPr>
            <w:r>
              <w:rPr>
                <w:color w:val="auto"/>
                <w:sz w:val="24"/>
              </w:rPr>
              <w:t>（8）优化施工车辆运行路线，尽量避开人群集聚区域；对于无法避开的人口聚集区域，则要求运输时间点避开出行高峰期，途经路段附近有城镇居民点路段，应减速慢行、禁止鸣笛，避免因施工物流运输对周边城镇的环境带来影响。</w:t>
            </w:r>
          </w:p>
          <w:p>
            <w:pPr>
              <w:adjustRightInd w:val="0"/>
              <w:snapToGrid w:val="0"/>
              <w:spacing w:line="360" w:lineRule="auto"/>
              <w:ind w:firstLine="482" w:firstLineChars="200"/>
              <w:rPr>
                <w:color w:val="auto"/>
                <w:kern w:val="0"/>
                <w:sz w:val="24"/>
              </w:rPr>
            </w:pPr>
            <w:r>
              <w:rPr>
                <w:rFonts w:hint="eastAsia"/>
                <w:b/>
                <w:bCs/>
                <w:color w:val="auto"/>
                <w:sz w:val="24"/>
                <w:lang w:val="en-US" w:eastAsia="zh-CN"/>
              </w:rPr>
              <w:t>施工单位严格</w:t>
            </w:r>
            <w:r>
              <w:rPr>
                <w:b/>
                <w:bCs/>
                <w:color w:val="auto"/>
                <w:sz w:val="24"/>
              </w:rPr>
              <w:t>落实</w:t>
            </w:r>
            <w:r>
              <w:rPr>
                <w:rFonts w:hint="eastAsia"/>
                <w:b/>
                <w:bCs/>
                <w:color w:val="auto"/>
                <w:sz w:val="24"/>
                <w:lang w:eastAsia="zh-CN"/>
              </w:rPr>
              <w:t>了</w:t>
            </w:r>
            <w:r>
              <w:rPr>
                <w:rFonts w:hint="eastAsia"/>
                <w:b/>
                <w:bCs/>
                <w:color w:val="auto"/>
                <w:sz w:val="24"/>
                <w:lang w:val="en-US" w:eastAsia="zh-CN"/>
              </w:rPr>
              <w:t>上述</w:t>
            </w:r>
            <w:r>
              <w:rPr>
                <w:b/>
                <w:bCs/>
                <w:color w:val="auto"/>
                <w:sz w:val="24"/>
              </w:rPr>
              <w:t>各项治理措施，</w:t>
            </w:r>
            <w:r>
              <w:rPr>
                <w:rFonts w:hint="eastAsia"/>
                <w:b/>
                <w:bCs/>
                <w:color w:val="auto"/>
                <w:sz w:val="24"/>
                <w:lang w:val="en-US" w:eastAsia="zh-CN"/>
              </w:rPr>
              <w:t>施工期噪声未对</w:t>
            </w:r>
            <w:r>
              <w:rPr>
                <w:b/>
                <w:bCs/>
                <w:color w:val="auto"/>
                <w:sz w:val="24"/>
              </w:rPr>
              <w:t>项目区域</w:t>
            </w:r>
            <w:r>
              <w:rPr>
                <w:rFonts w:hint="eastAsia"/>
                <w:b/>
                <w:bCs/>
                <w:color w:val="auto"/>
                <w:sz w:val="24"/>
                <w:lang w:val="en-US" w:eastAsia="zh-CN"/>
              </w:rPr>
              <w:t>声</w:t>
            </w:r>
            <w:r>
              <w:rPr>
                <w:b/>
                <w:bCs/>
                <w:color w:val="auto"/>
                <w:sz w:val="24"/>
              </w:rPr>
              <w:t>环境造成较大影响。</w:t>
            </w:r>
          </w:p>
          <w:p>
            <w:pPr>
              <w:adjustRightInd w:val="0"/>
              <w:snapToGrid w:val="0"/>
              <w:spacing w:line="360" w:lineRule="auto"/>
              <w:rPr>
                <w:b/>
                <w:color w:val="auto"/>
                <w:spacing w:val="-10"/>
                <w:sz w:val="24"/>
              </w:rPr>
            </w:pPr>
            <w:r>
              <w:rPr>
                <w:b/>
                <w:color w:val="auto"/>
                <w:spacing w:val="-10"/>
                <w:sz w:val="24"/>
              </w:rPr>
              <w:t>五、施工期固体废物环境保护措施</w:t>
            </w:r>
          </w:p>
          <w:p>
            <w:pPr>
              <w:adjustRightInd w:val="0"/>
              <w:snapToGrid w:val="0"/>
              <w:spacing w:line="360" w:lineRule="auto"/>
              <w:ind w:firstLine="482" w:firstLineChars="200"/>
              <w:rPr>
                <w:color w:val="auto"/>
                <w:kern w:val="0"/>
                <w:sz w:val="24"/>
              </w:rPr>
            </w:pPr>
            <w:r>
              <w:rPr>
                <w:b/>
                <w:bCs/>
                <w:color w:val="auto"/>
                <w:kern w:val="0"/>
                <w:sz w:val="24"/>
              </w:rPr>
              <w:t>废土石方：</w:t>
            </w:r>
            <w:r>
              <w:rPr>
                <w:color w:val="auto"/>
                <w:sz w:val="24"/>
              </w:rPr>
              <w:t>本项目不设置弃渣场，</w:t>
            </w:r>
            <w:r>
              <w:rPr>
                <w:rFonts w:hint="default" w:ascii="Times New Roman" w:hAnsi="Times New Roman" w:cs="Times New Roman"/>
                <w:color w:val="auto"/>
                <w:sz w:val="24"/>
              </w:rPr>
              <w:t>施工产生的</w:t>
            </w:r>
            <w:r>
              <w:rPr>
                <w:rFonts w:hint="default" w:ascii="Times New Roman" w:hAnsi="Times New Roman" w:cs="Times New Roman"/>
                <w:color w:val="auto"/>
                <w:sz w:val="24"/>
                <w:lang w:val="en-US" w:eastAsia="zh-CN"/>
              </w:rPr>
              <w:t>余方</w:t>
            </w:r>
            <w:r>
              <w:rPr>
                <w:rFonts w:hint="default" w:ascii="Times New Roman" w:hAnsi="Times New Roman" w:cs="Times New Roman"/>
                <w:color w:val="auto"/>
                <w:sz w:val="24"/>
              </w:rPr>
              <w:t>用于</w:t>
            </w:r>
            <w:r>
              <w:rPr>
                <w:rFonts w:hint="default" w:ascii="Times New Roman" w:hAnsi="Times New Roman" w:cs="Times New Roman"/>
                <w:color w:val="auto"/>
                <w:sz w:val="24"/>
                <w:lang w:val="en-US" w:eastAsia="zh-CN"/>
              </w:rPr>
              <w:t>部分堤防</w:t>
            </w:r>
            <w:r>
              <w:rPr>
                <w:rFonts w:hint="default" w:ascii="Times New Roman" w:hAnsi="Times New Roman" w:cs="Times New Roman"/>
                <w:color w:val="auto"/>
                <w:sz w:val="24"/>
              </w:rPr>
              <w:t>堤后</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堤后3m内</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低洼处</w:t>
            </w:r>
            <w:r>
              <w:rPr>
                <w:rFonts w:hint="default" w:ascii="Times New Roman" w:hAnsi="Times New Roman" w:cs="Times New Roman"/>
                <w:color w:val="auto"/>
                <w:sz w:val="24"/>
              </w:rPr>
              <w:t>回填</w:t>
            </w:r>
            <w:r>
              <w:rPr>
                <w:color w:val="auto"/>
                <w:kern w:val="0"/>
                <w:sz w:val="24"/>
              </w:rPr>
              <w:t>。</w:t>
            </w:r>
          </w:p>
          <w:p>
            <w:pPr>
              <w:adjustRightInd w:val="0"/>
              <w:snapToGrid w:val="0"/>
              <w:spacing w:line="360" w:lineRule="auto"/>
              <w:ind w:firstLine="482" w:firstLineChars="200"/>
              <w:rPr>
                <w:color w:val="auto"/>
                <w:kern w:val="0"/>
                <w:sz w:val="24"/>
              </w:rPr>
            </w:pPr>
            <w:r>
              <w:rPr>
                <w:b/>
                <w:bCs/>
                <w:color w:val="auto"/>
                <w:kern w:val="0"/>
                <w:sz w:val="24"/>
              </w:rPr>
              <w:t>建筑垃圾：</w:t>
            </w:r>
            <w:r>
              <w:rPr>
                <w:color w:val="auto"/>
                <w:kern w:val="0"/>
                <w:sz w:val="24"/>
              </w:rPr>
              <w:t>建筑垃圾在设计阶段未提出建筑垃圾处理方式，本环评要求业主将在建设过程中产生的建筑垃圾分类收集，能回用的回用，不能回用的集中清运至指定的地点处理。</w:t>
            </w:r>
          </w:p>
          <w:p>
            <w:pPr>
              <w:adjustRightInd w:val="0"/>
              <w:snapToGrid w:val="0"/>
              <w:spacing w:line="360" w:lineRule="auto"/>
              <w:ind w:firstLine="482" w:firstLineChars="200"/>
              <w:rPr>
                <w:color w:val="auto"/>
                <w:kern w:val="0"/>
                <w:sz w:val="24"/>
              </w:rPr>
            </w:pPr>
            <w:r>
              <w:rPr>
                <w:b/>
                <w:bCs/>
                <w:color w:val="auto"/>
                <w:kern w:val="0"/>
                <w:sz w:val="24"/>
              </w:rPr>
              <w:t>生活垃圾：</w:t>
            </w:r>
            <w:r>
              <w:rPr>
                <w:color w:val="auto"/>
                <w:kern w:val="0"/>
                <w:sz w:val="24"/>
              </w:rPr>
              <w:t>生活垃圾经过袋装收集后，统一收集至河堤沿线各个村垃圾收集点，由环卫部门统一清运处理，严禁就地填埋。</w:t>
            </w:r>
          </w:p>
          <w:p>
            <w:pPr>
              <w:adjustRightInd w:val="0"/>
              <w:snapToGrid w:val="0"/>
              <w:spacing w:line="360" w:lineRule="auto"/>
              <w:ind w:firstLine="482" w:firstLineChars="200"/>
              <w:rPr>
                <w:b/>
                <w:bCs/>
                <w:color w:val="auto"/>
                <w:kern w:val="0"/>
                <w:sz w:val="24"/>
              </w:rPr>
            </w:pPr>
            <w:r>
              <w:rPr>
                <w:rFonts w:hint="eastAsia"/>
                <w:b/>
                <w:bCs/>
                <w:color w:val="auto"/>
                <w:sz w:val="24"/>
                <w:lang w:val="en-US" w:eastAsia="zh-CN"/>
              </w:rPr>
              <w:t>施工单位严格</w:t>
            </w:r>
            <w:r>
              <w:rPr>
                <w:b/>
                <w:bCs/>
                <w:color w:val="auto"/>
                <w:sz w:val="24"/>
              </w:rPr>
              <w:t>落实</w:t>
            </w:r>
            <w:r>
              <w:rPr>
                <w:rFonts w:hint="eastAsia"/>
                <w:b/>
                <w:bCs/>
                <w:color w:val="auto"/>
                <w:sz w:val="24"/>
                <w:lang w:eastAsia="zh-CN"/>
              </w:rPr>
              <w:t>了</w:t>
            </w:r>
            <w:r>
              <w:rPr>
                <w:rFonts w:hint="eastAsia"/>
                <w:b/>
                <w:bCs/>
                <w:color w:val="auto"/>
                <w:sz w:val="24"/>
                <w:lang w:val="en-US" w:eastAsia="zh-CN"/>
              </w:rPr>
              <w:t>上述</w:t>
            </w:r>
            <w:r>
              <w:rPr>
                <w:b/>
                <w:bCs/>
                <w:color w:val="auto"/>
                <w:sz w:val="24"/>
              </w:rPr>
              <w:t>各项治理措施，</w:t>
            </w:r>
            <w:r>
              <w:rPr>
                <w:b/>
                <w:bCs/>
                <w:color w:val="auto"/>
                <w:kern w:val="0"/>
                <w:sz w:val="24"/>
              </w:rPr>
              <w:t>施工期固废处置合理，</w:t>
            </w:r>
            <w:r>
              <w:rPr>
                <w:rFonts w:hint="eastAsia"/>
                <w:b/>
                <w:bCs/>
                <w:color w:val="auto"/>
                <w:kern w:val="0"/>
                <w:sz w:val="24"/>
                <w:lang w:val="en-US" w:eastAsia="zh-CN"/>
              </w:rPr>
              <w:t>未</w:t>
            </w:r>
            <w:r>
              <w:rPr>
                <w:b/>
                <w:bCs/>
                <w:color w:val="auto"/>
                <w:kern w:val="0"/>
                <w:sz w:val="24"/>
              </w:rPr>
              <w:t>造成二次污染。</w:t>
            </w:r>
          </w:p>
          <w:p>
            <w:pPr>
              <w:adjustRightInd w:val="0"/>
              <w:snapToGrid w:val="0"/>
              <w:spacing w:line="360" w:lineRule="auto"/>
              <w:rPr>
                <w:b/>
                <w:color w:val="auto"/>
                <w:spacing w:val="-10"/>
                <w:sz w:val="24"/>
              </w:rPr>
            </w:pPr>
            <w:r>
              <w:rPr>
                <w:b/>
                <w:color w:val="auto"/>
                <w:spacing w:val="-10"/>
                <w:sz w:val="24"/>
              </w:rPr>
              <w:t>六、环境风险防范措施</w:t>
            </w:r>
          </w:p>
          <w:p>
            <w:pPr>
              <w:adjustRightInd w:val="0"/>
              <w:snapToGrid w:val="0"/>
              <w:spacing w:line="360" w:lineRule="auto"/>
              <w:ind w:firstLine="480" w:firstLineChars="200"/>
              <w:rPr>
                <w:color w:val="auto"/>
                <w:sz w:val="24"/>
              </w:rPr>
            </w:pPr>
            <w:r>
              <w:rPr>
                <w:color w:val="auto"/>
                <w:sz w:val="24"/>
              </w:rPr>
              <w:t>针对项目环境风险，本环评提出以下环境风险防范措施及应急要求：</w:t>
            </w:r>
          </w:p>
          <w:p>
            <w:pPr>
              <w:adjustRightInd w:val="0"/>
              <w:snapToGrid w:val="0"/>
              <w:spacing w:line="360" w:lineRule="auto"/>
              <w:ind w:firstLine="482" w:firstLineChars="200"/>
              <w:rPr>
                <w:color w:val="auto"/>
                <w:sz w:val="24"/>
              </w:rPr>
            </w:pPr>
            <w:r>
              <w:rPr>
                <w:b/>
                <w:bCs/>
                <w:color w:val="auto"/>
                <w:sz w:val="24"/>
              </w:rPr>
              <w:t>管理措施：</w:t>
            </w:r>
            <w:r>
              <w:rPr>
                <w:color w:val="auto"/>
                <w:sz w:val="24"/>
              </w:rPr>
              <w:t>成立环境风险事故领导小组，派专人对施工现场和沿线道路进行清扫，从源头上控制施工车辆油料泄漏可能带来的不良影响；定期检查和维护施工设备和运输车辆，使其维持良好的工作状态；敦促施工人员严格按照交通规则行驶并注意文明行车，减小事故几率；加强施工质量和进度管理，严格按照既定的施工要求、施工进度及施工范围内进行施工，确保在枯水期进行施工。</w:t>
            </w:r>
          </w:p>
          <w:p>
            <w:pPr>
              <w:adjustRightInd w:val="0"/>
              <w:snapToGrid w:val="0"/>
              <w:spacing w:line="360" w:lineRule="auto"/>
              <w:ind w:firstLine="482" w:firstLineChars="200"/>
              <w:rPr>
                <w:color w:val="auto"/>
                <w:sz w:val="24"/>
              </w:rPr>
            </w:pPr>
            <w:r>
              <w:rPr>
                <w:b/>
                <w:bCs/>
                <w:color w:val="auto"/>
                <w:sz w:val="24"/>
              </w:rPr>
              <w:t>工程措施：</w:t>
            </w:r>
            <w:r>
              <w:rPr>
                <w:color w:val="auto"/>
                <w:sz w:val="24"/>
              </w:rPr>
              <w:t>做好施工场地检查工作，保持排水通畅。施工场地和石方运输线路沿线等设置明显标志，提醒司机注意行车安全。</w:t>
            </w:r>
          </w:p>
          <w:p>
            <w:pPr>
              <w:adjustRightInd w:val="0"/>
              <w:snapToGrid w:val="0"/>
              <w:spacing w:line="360" w:lineRule="auto"/>
              <w:ind w:firstLine="482" w:firstLineChars="200"/>
              <w:rPr>
                <w:rFonts w:hint="eastAsia"/>
                <w:color w:val="auto"/>
                <w:sz w:val="24"/>
                <w:lang w:eastAsia="zh-CN"/>
              </w:rPr>
            </w:pPr>
            <w:r>
              <w:rPr>
                <w:b/>
                <w:bCs/>
                <w:color w:val="auto"/>
                <w:sz w:val="24"/>
              </w:rPr>
              <w:t>应急措施：</w:t>
            </w:r>
            <w:r>
              <w:rPr>
                <w:color w:val="auto"/>
                <w:sz w:val="24"/>
              </w:rPr>
              <w:t>施工车辆油料泄漏后应及时组织人员将该部分沙土铲除并收集至专用容器中交有资质单位处置，如油料泄露点位于周边道路，则用沙土覆盖其表面，待其充分被吸收后在用专用容器收集交资质单位处置，从而避免泄露的油料随雨水等带入周边水体</w:t>
            </w:r>
            <w:r>
              <w:rPr>
                <w:rFonts w:hint="eastAsia"/>
                <w:color w:val="auto"/>
                <w:sz w:val="24"/>
                <w:lang w:eastAsia="zh-CN"/>
              </w:rPr>
              <w:t>，</w:t>
            </w:r>
            <w:r>
              <w:rPr>
                <w:rFonts w:hint="eastAsia"/>
                <w:color w:val="auto"/>
                <w:sz w:val="24"/>
                <w:lang w:val="en-US" w:eastAsia="zh-CN"/>
              </w:rPr>
              <w:t>从而影响周边生态环境</w:t>
            </w:r>
            <w:r>
              <w:rPr>
                <w:color w:val="auto"/>
                <w:sz w:val="24"/>
              </w:rPr>
              <w:t>；同时制订污染物泄漏风险事故应急预案，预案应包括应急事故组织机构、应急救援队伍、应急设施及物质的配备、应急报警系统、应急处理措施、应急培训计划等内容；施工场所应张贴应急报警电话。本项目安排在枯水期施工，在洪水主汛期来临之前完成，但考虑到工程区经常发生泥石流，现场施工单位及业主部门应密切关注上游来水，做好预警工作</w:t>
            </w:r>
            <w:r>
              <w:rPr>
                <w:rFonts w:hint="eastAsia"/>
                <w:color w:val="auto"/>
                <w:sz w:val="24"/>
                <w:lang w:eastAsia="zh-CN"/>
              </w:rPr>
              <w:t>。</w:t>
            </w:r>
          </w:p>
          <w:p>
            <w:pPr>
              <w:adjustRightInd w:val="0"/>
              <w:snapToGrid w:val="0"/>
              <w:spacing w:line="360" w:lineRule="auto"/>
              <w:ind w:firstLine="482" w:firstLineChars="200"/>
              <w:rPr>
                <w:b/>
                <w:bCs/>
                <w:color w:val="auto"/>
                <w:sz w:val="24"/>
              </w:rPr>
            </w:pPr>
            <w:r>
              <w:rPr>
                <w:rFonts w:hint="eastAsia"/>
                <w:b/>
                <w:bCs/>
                <w:color w:val="auto"/>
                <w:sz w:val="24"/>
                <w:lang w:val="en-US" w:eastAsia="zh-CN"/>
              </w:rPr>
              <w:t>项目施工期已基本结束，施工单位严格执行环境风险管理措施，施工过程中未发生油料泄漏等环境风险状况</w:t>
            </w:r>
            <w:r>
              <w:rPr>
                <w:b/>
                <w:bCs/>
                <w:color w:val="auto"/>
                <w:sz w:val="24"/>
              </w:rPr>
              <w:t>。</w:t>
            </w:r>
          </w:p>
          <w:p>
            <w:pPr>
              <w:adjustRightInd w:val="0"/>
              <w:snapToGrid w:val="0"/>
              <w:spacing w:line="360" w:lineRule="auto"/>
              <w:rPr>
                <w:b/>
                <w:color w:val="auto"/>
                <w:spacing w:val="-10"/>
                <w:sz w:val="24"/>
              </w:rPr>
            </w:pPr>
            <w:r>
              <w:rPr>
                <w:b/>
                <w:color w:val="auto"/>
                <w:spacing w:val="-10"/>
                <w:sz w:val="24"/>
              </w:rPr>
              <w:t>七、施工期环境管理</w:t>
            </w:r>
          </w:p>
          <w:p>
            <w:pPr>
              <w:adjustRightInd w:val="0"/>
              <w:snapToGrid w:val="0"/>
              <w:spacing w:line="360" w:lineRule="auto"/>
              <w:ind w:firstLine="480" w:firstLineChars="200"/>
              <w:rPr>
                <w:color w:val="auto"/>
                <w:sz w:val="24"/>
              </w:rPr>
            </w:pPr>
            <w:r>
              <w:rPr>
                <w:color w:val="auto"/>
                <w:sz w:val="24"/>
              </w:rPr>
              <w:t>环境管理是指运用经济、法律、技术、行政、教育等手段使经济发展和环境保护得到协调发展。为此应明确本建设项目环境管理监督机构的指导和监督，使本项目的环境管理得到有效实施。</w:t>
            </w:r>
          </w:p>
          <w:p>
            <w:pPr>
              <w:adjustRightInd w:val="0"/>
              <w:snapToGrid w:val="0"/>
              <w:spacing w:line="360" w:lineRule="auto"/>
              <w:ind w:firstLine="480" w:firstLineChars="200"/>
              <w:rPr>
                <w:color w:val="auto"/>
                <w:sz w:val="24"/>
              </w:rPr>
            </w:pPr>
            <w:r>
              <w:rPr>
                <w:color w:val="auto"/>
                <w:sz w:val="24"/>
              </w:rPr>
              <w:t>（1）管理机构</w:t>
            </w:r>
          </w:p>
          <w:p>
            <w:pPr>
              <w:adjustRightInd w:val="0"/>
              <w:snapToGrid w:val="0"/>
              <w:spacing w:line="360" w:lineRule="auto"/>
              <w:ind w:firstLine="480" w:firstLineChars="200"/>
              <w:rPr>
                <w:color w:val="auto"/>
                <w:sz w:val="24"/>
              </w:rPr>
            </w:pPr>
            <w:r>
              <w:rPr>
                <w:color w:val="auto"/>
                <w:sz w:val="24"/>
              </w:rPr>
              <w:t>本项目的主要环境影响来自施工期，因此建设单位应尽快设立专职的环境管理机构，对施工期实行监督管理。该机构由建设单位负责组建并直接领导，由建设单位该项目的负责人负责项目的环境管理，并接受有关生态环境行政主管单位的指导和监督。</w:t>
            </w:r>
          </w:p>
          <w:p>
            <w:pPr>
              <w:adjustRightInd w:val="0"/>
              <w:snapToGrid w:val="0"/>
              <w:spacing w:line="360" w:lineRule="auto"/>
              <w:ind w:firstLine="480" w:firstLineChars="200"/>
              <w:rPr>
                <w:color w:val="auto"/>
                <w:sz w:val="24"/>
              </w:rPr>
            </w:pPr>
            <w:r>
              <w:rPr>
                <w:color w:val="auto"/>
                <w:sz w:val="24"/>
              </w:rPr>
              <w:t>（2）施工期环境管理措施</w:t>
            </w:r>
          </w:p>
          <w:p>
            <w:pPr>
              <w:adjustRightInd w:val="0"/>
              <w:snapToGrid w:val="0"/>
              <w:spacing w:line="360" w:lineRule="auto"/>
              <w:ind w:firstLine="480" w:firstLineChars="200"/>
              <w:rPr>
                <w:color w:val="auto"/>
                <w:sz w:val="24"/>
              </w:rPr>
            </w:pPr>
            <w:r>
              <w:rPr>
                <w:color w:val="auto"/>
                <w:sz w:val="24"/>
              </w:rPr>
              <w:t>施工中的环境管理应着重于施工场所的现场检查和监督。应采取日常的、全面的检查和终点监督检查相结合，编制好重点监督检查工作的计划。</w:t>
            </w:r>
          </w:p>
          <w:p>
            <w:pPr>
              <w:adjustRightInd w:val="0"/>
              <w:snapToGrid w:val="0"/>
              <w:spacing w:line="360" w:lineRule="auto"/>
              <w:ind w:firstLine="480" w:firstLineChars="200"/>
              <w:rPr>
                <w:color w:val="auto"/>
                <w:sz w:val="24"/>
              </w:rPr>
            </w:pPr>
            <w:r>
              <w:rPr>
                <w:color w:val="auto"/>
                <w:sz w:val="24"/>
              </w:rPr>
              <w:t>监督检查重点：一是防止植被破坏和水土流失，二是防治施工中的水、气、声、固废污染。</w:t>
            </w:r>
          </w:p>
          <w:p>
            <w:pPr>
              <w:adjustRightInd w:val="0"/>
              <w:snapToGrid w:val="0"/>
              <w:spacing w:line="360" w:lineRule="auto"/>
              <w:ind w:firstLine="480" w:firstLineChars="200"/>
              <w:rPr>
                <w:color w:val="auto"/>
                <w:sz w:val="24"/>
              </w:rPr>
            </w:pPr>
            <w:r>
              <w:rPr>
                <w:color w:val="auto"/>
                <w:sz w:val="24"/>
              </w:rPr>
              <w:t>监督检查时间：施工高峰期。</w:t>
            </w:r>
          </w:p>
          <w:p>
            <w:pPr>
              <w:adjustRightInd w:val="0"/>
              <w:snapToGrid w:val="0"/>
              <w:spacing w:line="360" w:lineRule="auto"/>
              <w:ind w:firstLine="480" w:firstLineChars="200"/>
              <w:rPr>
                <w:color w:val="auto"/>
                <w:sz w:val="24"/>
              </w:rPr>
            </w:pPr>
            <w:r>
              <w:rPr>
                <w:color w:val="auto"/>
                <w:sz w:val="24"/>
              </w:rPr>
              <w:t>监督检查内容：施工单位是否按要求实施了有关的生态保护以及水、气、声、固等污染控制措施。</w:t>
            </w:r>
          </w:p>
          <w:p>
            <w:pPr>
              <w:adjustRightInd w:val="0"/>
              <w:snapToGrid w:val="0"/>
              <w:spacing w:line="360" w:lineRule="auto"/>
              <w:ind w:firstLine="480" w:firstLineChars="200"/>
              <w:rPr>
                <w:rFonts w:hint="eastAsia"/>
                <w:color w:val="auto"/>
                <w:sz w:val="24"/>
                <w:lang w:eastAsia="zh-CN"/>
              </w:rPr>
            </w:pPr>
            <w:r>
              <w:rPr>
                <w:color w:val="auto"/>
                <w:sz w:val="24"/>
              </w:rPr>
              <w:t>监督检查要求：所有的检查计划、检查情况和处理情况都应有现场文字记录，并应及时通报给各有关部门。记录应定期汇总、归档，以便验收时备查</w:t>
            </w:r>
            <w:r>
              <w:rPr>
                <w:rFonts w:hint="eastAsia"/>
                <w:color w:val="auto"/>
                <w:sz w:val="24"/>
                <w:lang w:eastAsia="zh-CN"/>
              </w:rPr>
              <w:t>。</w:t>
            </w:r>
          </w:p>
          <w:p>
            <w:pPr>
              <w:adjustRightInd w:val="0"/>
              <w:snapToGrid w:val="0"/>
              <w:spacing w:line="360" w:lineRule="auto"/>
              <w:ind w:firstLine="482" w:firstLineChars="200"/>
              <w:rPr>
                <w:b/>
                <w:bCs/>
                <w:color w:val="auto"/>
                <w:sz w:val="24"/>
              </w:rPr>
            </w:pPr>
            <w:r>
              <w:rPr>
                <w:rFonts w:hint="eastAsia"/>
                <w:b/>
                <w:bCs/>
                <w:color w:val="auto"/>
                <w:sz w:val="24"/>
                <w:lang w:val="en-US" w:eastAsia="zh-CN"/>
              </w:rPr>
              <w:t>项目施工期已基本结束，本次评价要求建设单位及时对检查记录进行汇总归档，以便查验</w:t>
            </w:r>
            <w:r>
              <w:rPr>
                <w:b/>
                <w:bCs/>
                <w:color w:val="auto"/>
                <w:sz w:val="24"/>
              </w:rPr>
              <w:t>。</w:t>
            </w:r>
          </w:p>
          <w:p>
            <w:pPr>
              <w:adjustRightInd w:val="0"/>
              <w:snapToGrid w:val="0"/>
              <w:spacing w:line="360" w:lineRule="auto"/>
              <w:rPr>
                <w:b/>
                <w:color w:val="auto"/>
                <w:spacing w:val="-10"/>
                <w:sz w:val="24"/>
              </w:rPr>
            </w:pPr>
            <w:r>
              <w:rPr>
                <w:b/>
                <w:color w:val="auto"/>
                <w:spacing w:val="-10"/>
                <w:sz w:val="24"/>
              </w:rPr>
              <w:t>八、施工期环境监测计划</w:t>
            </w:r>
          </w:p>
          <w:p>
            <w:pPr>
              <w:adjustRightInd w:val="0"/>
              <w:snapToGrid w:val="0"/>
              <w:spacing w:line="360" w:lineRule="auto"/>
              <w:ind w:firstLine="480" w:firstLineChars="200"/>
              <w:rPr>
                <w:bCs/>
                <w:color w:val="auto"/>
                <w:spacing w:val="10"/>
                <w:sz w:val="24"/>
              </w:rPr>
            </w:pPr>
            <w:r>
              <w:rPr>
                <w:rFonts w:hint="eastAsia"/>
                <w:color w:val="auto"/>
                <w:sz w:val="24"/>
                <w:lang w:val="en-US" w:eastAsia="zh-CN"/>
              </w:rPr>
              <w:t>项目施工期已基本完成，根据现场踏勘，现场无遗留环境问题，建设单位严格执行了相应的施工期环境保护措施，本次评价不再列举施工期环境监测计划</w:t>
            </w: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9" w:hRule="atLeast"/>
          <w:jc w:val="center"/>
        </w:trPr>
        <w:tc>
          <w:tcPr>
            <w:tcW w:w="945" w:type="dxa"/>
            <w:tcMar>
              <w:left w:w="28" w:type="dxa"/>
              <w:right w:w="28" w:type="dxa"/>
            </w:tcMar>
            <w:vAlign w:val="center"/>
          </w:tcPr>
          <w:p>
            <w:pPr>
              <w:adjustRightInd w:val="0"/>
              <w:snapToGrid w:val="0"/>
              <w:jc w:val="center"/>
              <w:rPr>
                <w:bCs/>
                <w:color w:val="auto"/>
                <w:spacing w:val="10"/>
                <w:sz w:val="24"/>
              </w:rPr>
            </w:pPr>
            <w:r>
              <w:rPr>
                <w:bCs/>
                <w:color w:val="auto"/>
                <w:spacing w:val="10"/>
                <w:sz w:val="24"/>
              </w:rPr>
              <w:t>运营期生态环境保护措施</w:t>
            </w:r>
          </w:p>
        </w:tc>
        <w:tc>
          <w:tcPr>
            <w:tcW w:w="8299" w:type="dxa"/>
            <w:vAlign w:val="center"/>
          </w:tcPr>
          <w:p>
            <w:pPr>
              <w:adjustRightInd w:val="0"/>
              <w:snapToGrid w:val="0"/>
              <w:spacing w:line="360" w:lineRule="auto"/>
              <w:ind w:firstLine="480" w:firstLineChars="200"/>
              <w:jc w:val="left"/>
              <w:rPr>
                <w:color w:val="auto"/>
                <w:sz w:val="24"/>
              </w:rPr>
            </w:pPr>
            <w:r>
              <w:rPr>
                <w:color w:val="auto"/>
                <w:sz w:val="24"/>
              </w:rPr>
              <w:t>本项目为河道疏挖以及堤防建设工程，属生态影响型项目，运营期不产生污染物。环评建议在项目营运期加强环境管理工作：</w:t>
            </w:r>
          </w:p>
          <w:p>
            <w:pPr>
              <w:adjustRightInd w:val="0"/>
              <w:snapToGrid w:val="0"/>
              <w:spacing w:line="360" w:lineRule="auto"/>
              <w:ind w:firstLine="480" w:firstLineChars="200"/>
              <w:jc w:val="left"/>
              <w:rPr>
                <w:color w:val="auto"/>
                <w:sz w:val="24"/>
              </w:rPr>
            </w:pPr>
            <w:r>
              <w:rPr>
                <w:color w:val="auto"/>
                <w:sz w:val="24"/>
              </w:rPr>
              <w:t>（1）加强环保宣教工作，并在项目段河段设置警示牌；</w:t>
            </w:r>
          </w:p>
          <w:p>
            <w:pPr>
              <w:adjustRightInd w:val="0"/>
              <w:snapToGrid w:val="0"/>
              <w:spacing w:line="360" w:lineRule="auto"/>
              <w:ind w:firstLine="480" w:firstLineChars="200"/>
              <w:jc w:val="left"/>
              <w:rPr>
                <w:color w:val="auto"/>
                <w:sz w:val="24"/>
              </w:rPr>
            </w:pPr>
            <w:r>
              <w:rPr>
                <w:color w:val="auto"/>
                <w:sz w:val="24"/>
              </w:rPr>
              <w:t>（2）加强项目沿线植被建设和养护，以补偿由于项目建成造成生态系统功能的损失，同时保持与周边景观的协调性，达到较好的景观效果。</w:t>
            </w:r>
          </w:p>
          <w:p>
            <w:pPr>
              <w:adjustRightInd w:val="0"/>
              <w:snapToGrid w:val="0"/>
              <w:spacing w:line="360" w:lineRule="auto"/>
              <w:ind w:firstLine="480" w:firstLineChars="200"/>
              <w:jc w:val="left"/>
              <w:rPr>
                <w:color w:val="auto"/>
                <w:sz w:val="24"/>
              </w:rPr>
            </w:pPr>
            <w:r>
              <w:rPr>
                <w:color w:val="auto"/>
                <w:sz w:val="24"/>
              </w:rPr>
              <w:t>（3）加强制度建设。建立野生动植物保护、环境保护、野外用火等管理责任制度，明确职责，用制度管理工作人员，以确保风景区内的自然环境不被污染，野生动物不被偷猎，野生植物不遭破坏，森林火灾不发生</w:t>
            </w:r>
            <w:r>
              <w:rPr>
                <w:rFonts w:hint="eastAsia"/>
                <w:color w:val="auto"/>
                <w:sz w:val="24"/>
                <w:lang w:eastAsia="zh-CN"/>
              </w:rPr>
              <w:t>，</w:t>
            </w:r>
            <w:r>
              <w:rPr>
                <w:rFonts w:hint="eastAsia"/>
                <w:color w:val="auto"/>
                <w:sz w:val="24"/>
                <w:lang w:val="en-US" w:eastAsia="zh-CN"/>
              </w:rPr>
              <w:t>生态环境不受影响</w:t>
            </w:r>
            <w:r>
              <w:rPr>
                <w:color w:val="auto"/>
                <w:sz w:val="24"/>
              </w:rPr>
              <w:t>。</w:t>
            </w:r>
          </w:p>
          <w:p>
            <w:pPr>
              <w:adjustRightInd w:val="0"/>
              <w:snapToGrid w:val="0"/>
              <w:spacing w:line="360" w:lineRule="auto"/>
              <w:ind w:firstLine="480" w:firstLineChars="200"/>
              <w:jc w:val="left"/>
              <w:rPr>
                <w:rFonts w:hint="eastAsia"/>
                <w:color w:val="auto"/>
                <w:sz w:val="24"/>
                <w:lang w:eastAsia="zh-CN"/>
              </w:rPr>
            </w:pPr>
            <w:r>
              <w:rPr>
                <w:color w:val="auto"/>
                <w:sz w:val="24"/>
              </w:rPr>
              <w:t>（4）加强检疫防疫工作。根据保护区有害生物的种类和发生、传播规律及危害程度，加强项目区林业有害生物的预防和控制，加强对建筑包装材料的检疫工作，强化保护区森林资源及其附近森林资源保护，确保生态和国土资源安全</w:t>
            </w:r>
            <w:r>
              <w:rPr>
                <w:rFonts w:hint="eastAsia"/>
                <w:color w:val="auto"/>
                <w:sz w:val="24"/>
                <w:lang w:eastAsia="zh-CN"/>
              </w:rPr>
              <w:t>。</w:t>
            </w:r>
          </w:p>
          <w:p>
            <w:pPr>
              <w:adjustRightInd w:val="0"/>
              <w:snapToGrid w:val="0"/>
              <w:spacing w:line="360" w:lineRule="auto"/>
              <w:ind w:firstLine="480" w:firstLineChars="200"/>
              <w:jc w:val="left"/>
              <w:rPr>
                <w:rFonts w:hint="default" w:eastAsia="宋体"/>
                <w:bCs/>
                <w:color w:val="auto"/>
                <w:spacing w:val="10"/>
                <w:sz w:val="24"/>
                <w:lang w:val="en-US" w:eastAsia="zh-CN"/>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rFonts w:hint="eastAsia"/>
                <w:color w:val="auto"/>
                <w:sz w:val="24"/>
                <w:lang w:val="en-US" w:eastAsia="zh-CN"/>
              </w:rPr>
              <w:t>加强堤防构筑物完整性巡查，避免堤防损坏造成管涌、流土、溃堤等环境风险</w:t>
            </w:r>
            <w:r>
              <w:rPr>
                <w:color w:val="auto"/>
                <w:sz w:val="24"/>
              </w:rPr>
              <w:t>。</w:t>
            </w:r>
            <w:r>
              <w:rPr>
                <w:rFonts w:hint="eastAsia"/>
                <w:color w:val="auto"/>
                <w:sz w:val="24"/>
                <w:lang w:val="en-US" w:eastAsia="zh-CN"/>
              </w:rPr>
              <w:t>发生山洪、泥石流、山体滑坡或超标准洪水等自然灾害后，及时检查工程损坏性，尽快完成堤防修复，以避免造成更大环境风险。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945" w:type="dxa"/>
            <w:vAlign w:val="center"/>
          </w:tcPr>
          <w:p>
            <w:pPr>
              <w:adjustRightInd w:val="0"/>
              <w:snapToGrid w:val="0"/>
              <w:jc w:val="center"/>
              <w:rPr>
                <w:bCs/>
                <w:color w:val="auto"/>
                <w:spacing w:val="10"/>
                <w:sz w:val="24"/>
              </w:rPr>
            </w:pPr>
            <w:r>
              <w:rPr>
                <w:bCs/>
                <w:color w:val="auto"/>
                <w:sz w:val="24"/>
              </w:rPr>
              <w:t>其他</w:t>
            </w:r>
          </w:p>
        </w:tc>
        <w:tc>
          <w:tcPr>
            <w:tcW w:w="8299" w:type="dxa"/>
            <w:vAlign w:val="center"/>
          </w:tcPr>
          <w:p>
            <w:pPr>
              <w:adjustRightInd w:val="0"/>
              <w:snapToGrid w:val="0"/>
              <w:jc w:val="center"/>
              <w:rPr>
                <w:bCs/>
                <w:color w:val="auto"/>
                <w:spacing w:val="10"/>
                <w:sz w:val="24"/>
              </w:rPr>
            </w:pPr>
            <w:r>
              <w:rPr>
                <w:bCs/>
                <w:color w:val="auto"/>
                <w:spacing w:val="1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945" w:type="dxa"/>
            <w:vAlign w:val="center"/>
          </w:tcPr>
          <w:p>
            <w:pPr>
              <w:adjustRightInd w:val="0"/>
              <w:snapToGrid w:val="0"/>
              <w:jc w:val="center"/>
              <w:rPr>
                <w:bCs/>
                <w:color w:val="auto"/>
                <w:spacing w:val="10"/>
                <w:sz w:val="24"/>
              </w:rPr>
            </w:pPr>
            <w:r>
              <w:rPr>
                <w:bCs/>
                <w:color w:val="auto"/>
                <w:sz w:val="24"/>
              </w:rPr>
              <w:t>环保投资</w:t>
            </w:r>
          </w:p>
        </w:tc>
        <w:tc>
          <w:tcPr>
            <w:tcW w:w="8299" w:type="dxa"/>
          </w:tcPr>
          <w:p>
            <w:pPr>
              <w:adjustRightInd w:val="0"/>
              <w:snapToGrid w:val="0"/>
              <w:spacing w:line="360" w:lineRule="auto"/>
              <w:ind w:firstLine="480" w:firstLineChars="200"/>
              <w:jc w:val="left"/>
              <w:rPr>
                <w:color w:val="auto"/>
                <w:sz w:val="24"/>
              </w:rPr>
            </w:pPr>
            <w:r>
              <w:rPr>
                <w:color w:val="auto"/>
                <w:sz w:val="24"/>
              </w:rPr>
              <w:t>本项目总投资</w:t>
            </w:r>
            <w:r>
              <w:rPr>
                <w:rFonts w:hint="eastAsia"/>
                <w:color w:val="auto"/>
                <w:sz w:val="24"/>
                <w:lang w:val="en-US" w:eastAsia="zh-CN"/>
              </w:rPr>
              <w:t>3634.39</w:t>
            </w:r>
            <w:r>
              <w:rPr>
                <w:color w:val="auto"/>
                <w:sz w:val="24"/>
              </w:rPr>
              <w:t>万元，其中环保投资63万元，占总投资的1.7</w:t>
            </w:r>
            <w:r>
              <w:rPr>
                <w:rFonts w:hint="eastAsia"/>
                <w:color w:val="auto"/>
                <w:sz w:val="24"/>
                <w:lang w:val="en-US" w:eastAsia="zh-CN"/>
              </w:rPr>
              <w:t>3</w:t>
            </w:r>
            <w:r>
              <w:rPr>
                <w:color w:val="auto"/>
                <w:sz w:val="24"/>
              </w:rPr>
              <w:t>%。</w:t>
            </w:r>
          </w:p>
          <w:p>
            <w:pPr>
              <w:widowControl/>
              <w:adjustRightInd w:val="0"/>
              <w:snapToGrid w:val="0"/>
              <w:jc w:val="center"/>
              <w:rPr>
                <w:b/>
                <w:bCs/>
                <w:color w:val="auto"/>
                <w:szCs w:val="21"/>
              </w:rPr>
            </w:pPr>
            <w:r>
              <w:rPr>
                <w:b/>
                <w:bCs/>
                <w:color w:val="auto"/>
                <w:szCs w:val="21"/>
              </w:rPr>
              <w:t>表5-2 本项目环保投资一览表</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650"/>
              <w:gridCol w:w="5902"/>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468" w:type="pct"/>
                  <w:vAlign w:val="center"/>
                </w:tcPr>
                <w:p>
                  <w:pPr>
                    <w:jc w:val="center"/>
                    <w:rPr>
                      <w:b/>
                      <w:bCs/>
                      <w:color w:val="auto"/>
                      <w:szCs w:val="21"/>
                      <w:lang w:val="zh-CN"/>
                    </w:rPr>
                  </w:pPr>
                  <w:r>
                    <w:rPr>
                      <w:b/>
                      <w:bCs/>
                      <w:color w:val="auto"/>
                      <w:szCs w:val="21"/>
                      <w:lang w:val="zh-CN"/>
                    </w:rPr>
                    <w:t>项目</w:t>
                  </w:r>
                </w:p>
              </w:tc>
              <w:tc>
                <w:tcPr>
                  <w:tcW w:w="402" w:type="pct"/>
                  <w:vAlign w:val="center"/>
                </w:tcPr>
                <w:p>
                  <w:pPr>
                    <w:jc w:val="center"/>
                    <w:rPr>
                      <w:b/>
                      <w:bCs/>
                      <w:color w:val="auto"/>
                      <w:szCs w:val="21"/>
                      <w:lang w:val="zh-CN"/>
                    </w:rPr>
                  </w:pPr>
                  <w:r>
                    <w:rPr>
                      <w:b/>
                      <w:bCs/>
                      <w:color w:val="auto"/>
                      <w:szCs w:val="21"/>
                      <w:lang w:val="zh-CN"/>
                    </w:rPr>
                    <w:t>时段</w:t>
                  </w:r>
                </w:p>
              </w:tc>
              <w:tc>
                <w:tcPr>
                  <w:tcW w:w="3650" w:type="pct"/>
                  <w:vAlign w:val="center"/>
                </w:tcPr>
                <w:p>
                  <w:pPr>
                    <w:jc w:val="center"/>
                    <w:rPr>
                      <w:b/>
                      <w:bCs/>
                      <w:color w:val="auto"/>
                      <w:szCs w:val="21"/>
                      <w:lang w:val="zh-CN"/>
                    </w:rPr>
                  </w:pPr>
                  <w:r>
                    <w:rPr>
                      <w:b/>
                      <w:bCs/>
                      <w:color w:val="auto"/>
                      <w:szCs w:val="21"/>
                      <w:lang w:val="zh-CN"/>
                    </w:rPr>
                    <w:t>内容</w:t>
                  </w:r>
                </w:p>
              </w:tc>
              <w:tc>
                <w:tcPr>
                  <w:tcW w:w="479" w:type="pct"/>
                  <w:vAlign w:val="center"/>
                </w:tcPr>
                <w:p>
                  <w:pPr>
                    <w:jc w:val="center"/>
                    <w:rPr>
                      <w:b/>
                      <w:bCs/>
                      <w:color w:val="auto"/>
                      <w:szCs w:val="21"/>
                      <w:lang w:val="zh-CN"/>
                    </w:rPr>
                  </w:pPr>
                  <w:r>
                    <w:rPr>
                      <w:b/>
                      <w:bCs/>
                      <w:color w:val="auto"/>
                      <w:szCs w:val="21"/>
                      <w:lang w:val="zh-CN"/>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468" w:type="pct"/>
                  <w:vMerge w:val="restart"/>
                  <w:vAlign w:val="center"/>
                </w:tcPr>
                <w:p>
                  <w:pPr>
                    <w:jc w:val="center"/>
                    <w:rPr>
                      <w:color w:val="auto"/>
                      <w:szCs w:val="21"/>
                      <w:lang w:val="zh-CN"/>
                    </w:rPr>
                  </w:pPr>
                  <w:r>
                    <w:rPr>
                      <w:color w:val="auto"/>
                      <w:szCs w:val="21"/>
                      <w:lang w:val="zh-CN"/>
                    </w:rPr>
                    <w:t>废水治理</w:t>
                  </w:r>
                </w:p>
              </w:tc>
              <w:tc>
                <w:tcPr>
                  <w:tcW w:w="402" w:type="pct"/>
                  <w:vMerge w:val="restart"/>
                  <w:vAlign w:val="center"/>
                </w:tcPr>
                <w:p>
                  <w:pPr>
                    <w:jc w:val="center"/>
                    <w:rPr>
                      <w:color w:val="auto"/>
                      <w:szCs w:val="21"/>
                      <w:lang w:val="zh-CN"/>
                    </w:rPr>
                  </w:pPr>
                  <w:r>
                    <w:rPr>
                      <w:color w:val="auto"/>
                      <w:szCs w:val="21"/>
                      <w:lang w:val="zh-CN"/>
                    </w:rPr>
                    <w:t>施工期</w:t>
                  </w:r>
                </w:p>
              </w:tc>
              <w:tc>
                <w:tcPr>
                  <w:tcW w:w="3650" w:type="pct"/>
                  <w:vAlign w:val="center"/>
                </w:tcPr>
                <w:p>
                  <w:pPr>
                    <w:rPr>
                      <w:color w:val="auto"/>
                      <w:szCs w:val="21"/>
                      <w:lang w:val="zh-CN"/>
                    </w:rPr>
                  </w:pPr>
                  <w:r>
                    <w:rPr>
                      <w:color w:val="auto"/>
                      <w:szCs w:val="21"/>
                      <w:lang w:val="zh-CN"/>
                    </w:rPr>
                    <w:t>施工生活污水：本项目不单独设置集中施工营地，项目施工人员分散居住在工程周围居民家中，施工期产生的生活污水依托租用居民房屋已建化粪池处理后用于周边农田及林地施肥，不外排，</w:t>
                  </w:r>
                  <w:r>
                    <w:rPr>
                      <w:color w:val="auto"/>
                      <w:szCs w:val="21"/>
                    </w:rPr>
                    <w:t>不会对周边环境产生影响</w:t>
                  </w:r>
                  <w:r>
                    <w:rPr>
                      <w:color w:val="auto"/>
                      <w:szCs w:val="21"/>
                      <w:lang w:val="zh-CN"/>
                    </w:rPr>
                    <w:t>。</w:t>
                  </w:r>
                </w:p>
              </w:tc>
              <w:tc>
                <w:tcPr>
                  <w:tcW w:w="479" w:type="pct"/>
                  <w:vAlign w:val="center"/>
                </w:tcPr>
                <w:p>
                  <w:pPr>
                    <w:jc w:val="center"/>
                    <w:rPr>
                      <w:color w:val="auto"/>
                      <w:szCs w:val="21"/>
                    </w:rPr>
                  </w:pPr>
                  <w:r>
                    <w:rPr>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468" w:type="pct"/>
                  <w:vMerge w:val="continue"/>
                  <w:vAlign w:val="center"/>
                </w:tcPr>
                <w:p>
                  <w:pPr>
                    <w:jc w:val="center"/>
                    <w:rPr>
                      <w:color w:val="auto"/>
                      <w:szCs w:val="21"/>
                      <w:lang w:val="zh-CN"/>
                    </w:rPr>
                  </w:pPr>
                </w:p>
              </w:tc>
              <w:tc>
                <w:tcPr>
                  <w:tcW w:w="402" w:type="pct"/>
                  <w:vMerge w:val="continue"/>
                  <w:vAlign w:val="center"/>
                </w:tcPr>
                <w:p>
                  <w:pPr>
                    <w:jc w:val="center"/>
                    <w:rPr>
                      <w:color w:val="auto"/>
                      <w:szCs w:val="21"/>
                      <w:lang w:val="zh-CN"/>
                    </w:rPr>
                  </w:pPr>
                </w:p>
              </w:tc>
              <w:tc>
                <w:tcPr>
                  <w:tcW w:w="3650" w:type="pct"/>
                  <w:vAlign w:val="center"/>
                </w:tcPr>
                <w:p>
                  <w:pPr>
                    <w:rPr>
                      <w:color w:val="auto"/>
                      <w:szCs w:val="21"/>
                    </w:rPr>
                  </w:pPr>
                  <w:r>
                    <w:rPr>
                      <w:bCs/>
                      <w:color w:val="auto"/>
                      <w:szCs w:val="21"/>
                      <w:lang w:val="zh-CN"/>
                    </w:rPr>
                    <w:t>地表水水质减缓措施：堤基、基础围堰的开挖和拆除、围堰开挖均在1</w:t>
                  </w:r>
                  <w:r>
                    <w:rPr>
                      <w:bCs/>
                      <w:color w:val="auto"/>
                      <w:szCs w:val="21"/>
                    </w:rPr>
                    <w:t>2</w:t>
                  </w:r>
                  <w:r>
                    <w:rPr>
                      <w:bCs/>
                      <w:color w:val="auto"/>
                      <w:szCs w:val="21"/>
                      <w:lang w:val="zh-CN"/>
                    </w:rPr>
                    <w:t>月~次年</w:t>
                  </w:r>
                  <w:r>
                    <w:rPr>
                      <w:bCs/>
                      <w:color w:val="auto"/>
                      <w:szCs w:val="21"/>
                    </w:rPr>
                    <w:t>3</w:t>
                  </w:r>
                  <w:r>
                    <w:rPr>
                      <w:bCs/>
                      <w:color w:val="auto"/>
                      <w:szCs w:val="21"/>
                      <w:lang w:val="zh-CN"/>
                    </w:rPr>
                    <w:t>月份的枯水期进行，以尽量减少对地表水体的扰动。</w:t>
                  </w:r>
                </w:p>
              </w:tc>
              <w:tc>
                <w:tcPr>
                  <w:tcW w:w="479" w:type="pct"/>
                  <w:vAlign w:val="center"/>
                </w:tcPr>
                <w:p>
                  <w:pPr>
                    <w:jc w:val="center"/>
                    <w:rPr>
                      <w:color w:val="auto"/>
                      <w:szCs w:val="21"/>
                      <w:lang w:val="zh-CN"/>
                    </w:rPr>
                  </w:pPr>
                  <w:r>
                    <w:rPr>
                      <w:color w:val="auto"/>
                      <w:szCs w:val="21"/>
                      <w:lang w:val="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468" w:type="pct"/>
                  <w:vMerge w:val="continue"/>
                  <w:vAlign w:val="center"/>
                </w:tcPr>
                <w:p>
                  <w:pPr>
                    <w:jc w:val="center"/>
                    <w:rPr>
                      <w:color w:val="auto"/>
                      <w:szCs w:val="21"/>
                      <w:lang w:val="zh-CN"/>
                    </w:rPr>
                  </w:pPr>
                </w:p>
              </w:tc>
              <w:tc>
                <w:tcPr>
                  <w:tcW w:w="402" w:type="pct"/>
                  <w:vMerge w:val="continue"/>
                  <w:vAlign w:val="center"/>
                </w:tcPr>
                <w:p>
                  <w:pPr>
                    <w:jc w:val="center"/>
                    <w:rPr>
                      <w:color w:val="auto"/>
                      <w:szCs w:val="21"/>
                      <w:lang w:val="zh-CN"/>
                    </w:rPr>
                  </w:pPr>
                </w:p>
              </w:tc>
              <w:tc>
                <w:tcPr>
                  <w:tcW w:w="3650" w:type="pct"/>
                  <w:vAlign w:val="center"/>
                </w:tcPr>
                <w:p>
                  <w:pPr>
                    <w:rPr>
                      <w:color w:val="auto"/>
                      <w:szCs w:val="21"/>
                    </w:rPr>
                  </w:pPr>
                  <w:r>
                    <w:rPr>
                      <w:color w:val="auto"/>
                      <w:szCs w:val="21"/>
                      <w:lang w:val="zh-CN"/>
                    </w:rPr>
                    <w:t>基坑排水：采用水泵抽排，每段选用2~4台IS50-32-125型水泵，流量12.5m</w:t>
                  </w:r>
                  <w:r>
                    <w:rPr>
                      <w:color w:val="auto"/>
                      <w:szCs w:val="21"/>
                      <w:vertAlign w:val="superscript"/>
                      <w:lang w:val="zh-CN"/>
                    </w:rPr>
                    <w:t>3</w:t>
                  </w:r>
                  <w:r>
                    <w:rPr>
                      <w:color w:val="auto"/>
                      <w:szCs w:val="21"/>
                      <w:lang w:val="zh-CN"/>
                    </w:rPr>
                    <w:t>/h，扬程20m，配带功率2.2kW，施工时段不间断排水。</w:t>
                  </w:r>
                </w:p>
              </w:tc>
              <w:tc>
                <w:tcPr>
                  <w:tcW w:w="479" w:type="pct"/>
                  <w:vAlign w:val="center"/>
                </w:tcPr>
                <w:p>
                  <w:pPr>
                    <w:jc w:val="center"/>
                    <w:rPr>
                      <w:color w:val="auto"/>
                      <w:szCs w:val="21"/>
                    </w:rPr>
                  </w:pPr>
                  <w:r>
                    <w:rPr>
                      <w:color w:val="auto"/>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468" w:type="pct"/>
                  <w:vMerge w:val="continue"/>
                  <w:vAlign w:val="center"/>
                </w:tcPr>
                <w:p>
                  <w:pPr>
                    <w:jc w:val="center"/>
                    <w:rPr>
                      <w:color w:val="auto"/>
                      <w:szCs w:val="21"/>
                      <w:lang w:val="zh-CN"/>
                    </w:rPr>
                  </w:pPr>
                </w:p>
              </w:tc>
              <w:tc>
                <w:tcPr>
                  <w:tcW w:w="402" w:type="pct"/>
                  <w:vMerge w:val="continue"/>
                  <w:vAlign w:val="center"/>
                </w:tcPr>
                <w:p>
                  <w:pPr>
                    <w:jc w:val="center"/>
                    <w:rPr>
                      <w:color w:val="auto"/>
                      <w:szCs w:val="21"/>
                      <w:lang w:val="zh-CN"/>
                    </w:rPr>
                  </w:pPr>
                </w:p>
              </w:tc>
              <w:tc>
                <w:tcPr>
                  <w:tcW w:w="3650" w:type="pct"/>
                  <w:vAlign w:val="center"/>
                </w:tcPr>
                <w:p>
                  <w:pPr>
                    <w:rPr>
                      <w:color w:val="auto"/>
                      <w:szCs w:val="21"/>
                      <w:lang w:val="zh-CN"/>
                    </w:rPr>
                  </w:pPr>
                  <w:r>
                    <w:rPr>
                      <w:color w:val="auto"/>
                      <w:szCs w:val="21"/>
                      <w:lang w:val="zh-CN"/>
                    </w:rPr>
                    <w:t>设备冲洗水：机械设备产生的冲洗废水拟在施工场地机械设备场旁边设置10m</w:t>
                  </w:r>
                  <w:r>
                    <w:rPr>
                      <w:color w:val="auto"/>
                      <w:szCs w:val="21"/>
                      <w:vertAlign w:val="superscript"/>
                      <w:lang w:val="zh-CN"/>
                    </w:rPr>
                    <w:t>3</w:t>
                  </w:r>
                  <w:r>
                    <w:rPr>
                      <w:color w:val="auto"/>
                      <w:szCs w:val="21"/>
                      <w:lang w:val="zh-CN"/>
                    </w:rPr>
                    <w:t>沉淀池进行处理，冲洗废水通过沉淀之后回用于施工车辆车轮冲洗过程中，循环使用，不外排。</w:t>
                  </w:r>
                </w:p>
              </w:tc>
              <w:tc>
                <w:tcPr>
                  <w:tcW w:w="479" w:type="pct"/>
                  <w:vAlign w:val="center"/>
                </w:tcPr>
                <w:p>
                  <w:pPr>
                    <w:jc w:val="center"/>
                    <w:rPr>
                      <w:color w:val="auto"/>
                      <w:szCs w:val="21"/>
                    </w:rPr>
                  </w:pPr>
                  <w:r>
                    <w:rPr>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468" w:type="pct"/>
                  <w:vMerge w:val="continue"/>
                  <w:vAlign w:val="center"/>
                </w:tcPr>
                <w:p>
                  <w:pPr>
                    <w:jc w:val="center"/>
                    <w:rPr>
                      <w:color w:val="auto"/>
                      <w:szCs w:val="21"/>
                      <w:lang w:val="zh-CN"/>
                    </w:rPr>
                  </w:pPr>
                </w:p>
              </w:tc>
              <w:tc>
                <w:tcPr>
                  <w:tcW w:w="402" w:type="pct"/>
                  <w:vMerge w:val="continue"/>
                  <w:vAlign w:val="center"/>
                </w:tcPr>
                <w:p>
                  <w:pPr>
                    <w:jc w:val="center"/>
                    <w:rPr>
                      <w:color w:val="auto"/>
                      <w:szCs w:val="21"/>
                      <w:lang w:val="zh-CN"/>
                    </w:rPr>
                  </w:pPr>
                </w:p>
              </w:tc>
              <w:tc>
                <w:tcPr>
                  <w:tcW w:w="3650" w:type="pct"/>
                  <w:vAlign w:val="center"/>
                </w:tcPr>
                <w:p>
                  <w:pPr>
                    <w:rPr>
                      <w:color w:val="auto"/>
                      <w:szCs w:val="21"/>
                      <w:lang w:val="zh-CN"/>
                    </w:rPr>
                  </w:pPr>
                  <w:r>
                    <w:rPr>
                      <w:color w:val="auto"/>
                      <w:szCs w:val="21"/>
                    </w:rPr>
                    <w:t>淤料脱水废水：</w:t>
                  </w:r>
                  <w:r>
                    <w:rPr>
                      <w:color w:val="auto"/>
                      <w:szCs w:val="21"/>
                      <w:lang w:val="zh-CN"/>
                    </w:rPr>
                    <w:t>开挖的清淤料运输至就近的临时堆料场脱水暂存，清淤料经</w:t>
                  </w:r>
                  <w:r>
                    <w:rPr>
                      <w:rFonts w:hint="eastAsia"/>
                      <w:color w:val="auto"/>
                      <w:szCs w:val="21"/>
                      <w:lang w:val="en-US" w:eastAsia="zh-CN"/>
                    </w:rPr>
                    <w:t>晾晒</w:t>
                  </w:r>
                  <w:r>
                    <w:rPr>
                      <w:color w:val="auto"/>
                      <w:szCs w:val="21"/>
                      <w:lang w:val="zh-CN"/>
                    </w:rPr>
                    <w:t>脱水处理后产生的废水，收集后由临时堆料场的沉淀池处理，用于厂内洒水降尘和车辆冲洗，不外排。</w:t>
                  </w:r>
                </w:p>
              </w:tc>
              <w:tc>
                <w:tcPr>
                  <w:tcW w:w="479" w:type="pct"/>
                  <w:vAlign w:val="center"/>
                </w:tcPr>
                <w:p>
                  <w:pPr>
                    <w:jc w:val="center"/>
                    <w:rPr>
                      <w:color w:val="auto"/>
                      <w:szCs w:val="21"/>
                    </w:rPr>
                  </w:pPr>
                  <w:r>
                    <w:rPr>
                      <w:color w:val="auto"/>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468" w:type="pct"/>
                  <w:vAlign w:val="center"/>
                </w:tcPr>
                <w:p>
                  <w:pPr>
                    <w:jc w:val="center"/>
                    <w:rPr>
                      <w:color w:val="auto"/>
                      <w:szCs w:val="21"/>
                      <w:lang w:val="zh-CN"/>
                    </w:rPr>
                  </w:pPr>
                  <w:r>
                    <w:rPr>
                      <w:color w:val="auto"/>
                      <w:szCs w:val="21"/>
                      <w:lang w:val="zh-CN"/>
                    </w:rPr>
                    <w:t>废气治理</w:t>
                  </w:r>
                </w:p>
              </w:tc>
              <w:tc>
                <w:tcPr>
                  <w:tcW w:w="402" w:type="pct"/>
                  <w:vAlign w:val="center"/>
                </w:tcPr>
                <w:p>
                  <w:pPr>
                    <w:jc w:val="center"/>
                    <w:rPr>
                      <w:color w:val="auto"/>
                      <w:szCs w:val="21"/>
                      <w:lang w:val="zh-CN"/>
                    </w:rPr>
                  </w:pPr>
                  <w:r>
                    <w:rPr>
                      <w:color w:val="auto"/>
                      <w:szCs w:val="21"/>
                      <w:lang w:val="zh-CN"/>
                    </w:rPr>
                    <w:t>施工期</w:t>
                  </w:r>
                </w:p>
              </w:tc>
              <w:tc>
                <w:tcPr>
                  <w:tcW w:w="3650" w:type="pct"/>
                  <w:vAlign w:val="center"/>
                </w:tcPr>
                <w:p>
                  <w:pPr>
                    <w:rPr>
                      <w:color w:val="auto"/>
                      <w:szCs w:val="21"/>
                      <w:lang w:val="zh-CN"/>
                    </w:rPr>
                  </w:pPr>
                  <w:r>
                    <w:rPr>
                      <w:color w:val="auto"/>
                      <w:szCs w:val="21"/>
                      <w:lang w:val="zh-CN"/>
                    </w:rPr>
                    <w:t>设置施工工地设置围墙或者硬质密闭围挡、洒水抑尘、进出车辆冲洗轮胎、临时堆场四周设置围挡，安装喷雾降尘装置，堆场使用防尘布覆盖、运输车辆密闭等。</w:t>
                  </w:r>
                </w:p>
              </w:tc>
              <w:tc>
                <w:tcPr>
                  <w:tcW w:w="479" w:type="pct"/>
                  <w:vAlign w:val="center"/>
                </w:tcPr>
                <w:p>
                  <w:pPr>
                    <w:jc w:val="center"/>
                    <w:rPr>
                      <w:color w:val="auto"/>
                      <w:szCs w:val="21"/>
                      <w:lang w:val="zh-CN"/>
                    </w:rPr>
                  </w:pPr>
                  <w:r>
                    <w:rPr>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68" w:type="pct"/>
                  <w:vAlign w:val="center"/>
                </w:tcPr>
                <w:p>
                  <w:pPr>
                    <w:jc w:val="center"/>
                    <w:rPr>
                      <w:color w:val="auto"/>
                      <w:szCs w:val="21"/>
                      <w:lang w:val="zh-CN"/>
                    </w:rPr>
                  </w:pPr>
                  <w:r>
                    <w:rPr>
                      <w:color w:val="auto"/>
                      <w:szCs w:val="21"/>
                      <w:lang w:val="zh-CN"/>
                    </w:rPr>
                    <w:t>噪声治理</w:t>
                  </w:r>
                </w:p>
              </w:tc>
              <w:tc>
                <w:tcPr>
                  <w:tcW w:w="402" w:type="pct"/>
                  <w:vAlign w:val="center"/>
                </w:tcPr>
                <w:p>
                  <w:pPr>
                    <w:jc w:val="center"/>
                    <w:rPr>
                      <w:color w:val="auto"/>
                      <w:szCs w:val="21"/>
                      <w:lang w:val="zh-CN"/>
                    </w:rPr>
                  </w:pPr>
                  <w:r>
                    <w:rPr>
                      <w:color w:val="auto"/>
                      <w:szCs w:val="21"/>
                      <w:lang w:val="zh-CN"/>
                    </w:rPr>
                    <w:t>施工期</w:t>
                  </w:r>
                </w:p>
              </w:tc>
              <w:tc>
                <w:tcPr>
                  <w:tcW w:w="3650" w:type="pct"/>
                  <w:vAlign w:val="center"/>
                </w:tcPr>
                <w:p>
                  <w:pPr>
                    <w:rPr>
                      <w:color w:val="auto"/>
                      <w:szCs w:val="21"/>
                      <w:lang w:val="zh-CN"/>
                    </w:rPr>
                  </w:pPr>
                  <w:r>
                    <w:rPr>
                      <w:color w:val="auto"/>
                      <w:szCs w:val="21"/>
                      <w:lang w:val="zh-CN"/>
                    </w:rPr>
                    <w:t>选用低噪声设备、加强管理，加强车辆保养；合理布局施工场地；合理安排施工时间，</w:t>
                  </w:r>
                  <w:r>
                    <w:rPr>
                      <w:color w:val="auto"/>
                      <w:szCs w:val="21"/>
                    </w:rPr>
                    <w:t>禁止夜间施工</w:t>
                  </w:r>
                  <w:r>
                    <w:rPr>
                      <w:color w:val="auto"/>
                      <w:szCs w:val="21"/>
                      <w:lang w:val="zh-CN"/>
                    </w:rPr>
                    <w:t>；优化施工车辆运行路线等。</w:t>
                  </w:r>
                </w:p>
              </w:tc>
              <w:tc>
                <w:tcPr>
                  <w:tcW w:w="479" w:type="pct"/>
                  <w:vAlign w:val="center"/>
                </w:tcPr>
                <w:p>
                  <w:pPr>
                    <w:jc w:val="center"/>
                    <w:rPr>
                      <w:color w:val="auto"/>
                      <w:szCs w:val="21"/>
                    </w:rPr>
                  </w:pPr>
                  <w:r>
                    <w:rPr>
                      <w:color w:val="auto"/>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468" w:type="pct"/>
                  <w:vMerge w:val="restart"/>
                  <w:vAlign w:val="center"/>
                </w:tcPr>
                <w:p>
                  <w:pPr>
                    <w:jc w:val="center"/>
                    <w:rPr>
                      <w:color w:val="auto"/>
                      <w:szCs w:val="21"/>
                      <w:lang w:val="zh-CN"/>
                    </w:rPr>
                  </w:pPr>
                  <w:r>
                    <w:rPr>
                      <w:color w:val="auto"/>
                      <w:szCs w:val="21"/>
                      <w:lang w:val="zh-CN"/>
                    </w:rPr>
                    <w:t>固废治理</w:t>
                  </w:r>
                </w:p>
              </w:tc>
              <w:tc>
                <w:tcPr>
                  <w:tcW w:w="402" w:type="pct"/>
                  <w:vMerge w:val="restart"/>
                  <w:vAlign w:val="center"/>
                </w:tcPr>
                <w:p>
                  <w:pPr>
                    <w:jc w:val="center"/>
                    <w:rPr>
                      <w:color w:val="auto"/>
                      <w:szCs w:val="21"/>
                      <w:lang w:val="zh-CN"/>
                    </w:rPr>
                  </w:pPr>
                  <w:r>
                    <w:rPr>
                      <w:color w:val="auto"/>
                      <w:szCs w:val="21"/>
                      <w:lang w:val="zh-CN"/>
                    </w:rPr>
                    <w:t>施工期</w:t>
                  </w:r>
                </w:p>
              </w:tc>
              <w:tc>
                <w:tcPr>
                  <w:tcW w:w="3650" w:type="pct"/>
                  <w:vAlign w:val="center"/>
                </w:tcPr>
                <w:p>
                  <w:pPr>
                    <w:rPr>
                      <w:color w:val="auto"/>
                      <w:szCs w:val="21"/>
                    </w:rPr>
                  </w:pPr>
                  <w:r>
                    <w:rPr>
                      <w:color w:val="auto"/>
                      <w:szCs w:val="21"/>
                      <w:lang w:val="zh-CN"/>
                    </w:rPr>
                    <w:t>废土石方：本项目不设置弃渣场，</w:t>
                  </w:r>
                  <w:r>
                    <w:rPr>
                      <w:rFonts w:hint="default"/>
                      <w:color w:val="auto"/>
                      <w:szCs w:val="21"/>
                      <w:lang w:val="zh-CN"/>
                    </w:rPr>
                    <w:t>施工产生的</w:t>
                  </w:r>
                  <w:r>
                    <w:rPr>
                      <w:rFonts w:hint="default"/>
                      <w:color w:val="auto"/>
                      <w:szCs w:val="21"/>
                      <w:lang w:val="zh-CN" w:eastAsia="zh-CN"/>
                    </w:rPr>
                    <w:t>余方</w:t>
                  </w:r>
                  <w:r>
                    <w:rPr>
                      <w:rFonts w:hint="default"/>
                      <w:color w:val="auto"/>
                      <w:szCs w:val="21"/>
                      <w:lang w:val="zh-CN"/>
                    </w:rPr>
                    <w:t>用于</w:t>
                  </w:r>
                  <w:r>
                    <w:rPr>
                      <w:rFonts w:hint="default"/>
                      <w:color w:val="auto"/>
                      <w:szCs w:val="21"/>
                      <w:lang w:val="zh-CN" w:eastAsia="zh-CN"/>
                    </w:rPr>
                    <w:t>部分堤防</w:t>
                  </w:r>
                  <w:r>
                    <w:rPr>
                      <w:rFonts w:hint="default"/>
                      <w:color w:val="auto"/>
                      <w:szCs w:val="21"/>
                      <w:lang w:val="zh-CN"/>
                    </w:rPr>
                    <w:t>堤后</w:t>
                  </w:r>
                  <w:r>
                    <w:rPr>
                      <w:rFonts w:hint="default"/>
                      <w:color w:val="auto"/>
                      <w:szCs w:val="21"/>
                      <w:lang w:val="zh-CN" w:eastAsia="zh-CN"/>
                    </w:rPr>
                    <w:t>（堤后3m内）低洼处</w:t>
                  </w:r>
                  <w:r>
                    <w:rPr>
                      <w:rFonts w:hint="default"/>
                      <w:color w:val="auto"/>
                      <w:szCs w:val="21"/>
                      <w:lang w:val="zh-CN"/>
                    </w:rPr>
                    <w:t>回填</w:t>
                  </w:r>
                  <w:r>
                    <w:rPr>
                      <w:color w:val="auto"/>
                      <w:szCs w:val="21"/>
                      <w:lang w:val="zh-CN"/>
                    </w:rPr>
                    <w:t>。</w:t>
                  </w:r>
                </w:p>
              </w:tc>
              <w:tc>
                <w:tcPr>
                  <w:tcW w:w="479" w:type="pct"/>
                  <w:vAlign w:val="center"/>
                </w:tcPr>
                <w:p>
                  <w:pPr>
                    <w:jc w:val="center"/>
                    <w:rPr>
                      <w:color w:val="auto"/>
                      <w:szCs w:val="21"/>
                    </w:rPr>
                  </w:pPr>
                  <w:r>
                    <w:rPr>
                      <w:color w:val="auto"/>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68" w:type="pct"/>
                  <w:vMerge w:val="continue"/>
                  <w:vAlign w:val="center"/>
                </w:tcPr>
                <w:p>
                  <w:pPr>
                    <w:jc w:val="center"/>
                    <w:rPr>
                      <w:color w:val="auto"/>
                      <w:szCs w:val="21"/>
                      <w:lang w:val="zh-CN"/>
                    </w:rPr>
                  </w:pPr>
                </w:p>
              </w:tc>
              <w:tc>
                <w:tcPr>
                  <w:tcW w:w="402" w:type="pct"/>
                  <w:vMerge w:val="continue"/>
                  <w:vAlign w:val="center"/>
                </w:tcPr>
                <w:p>
                  <w:pPr>
                    <w:jc w:val="center"/>
                    <w:rPr>
                      <w:color w:val="auto"/>
                      <w:szCs w:val="21"/>
                      <w:lang w:val="zh-CN"/>
                    </w:rPr>
                  </w:pPr>
                </w:p>
              </w:tc>
              <w:tc>
                <w:tcPr>
                  <w:tcW w:w="3650" w:type="pct"/>
                  <w:vAlign w:val="center"/>
                </w:tcPr>
                <w:p>
                  <w:pPr>
                    <w:rPr>
                      <w:color w:val="auto"/>
                      <w:szCs w:val="21"/>
                      <w:lang w:val="zh-CN"/>
                    </w:rPr>
                  </w:pPr>
                  <w:r>
                    <w:rPr>
                      <w:color w:val="auto"/>
                      <w:szCs w:val="21"/>
                      <w:lang w:val="zh-CN"/>
                    </w:rPr>
                    <w:t>建筑垃圾：建筑垃圾分类收集，能回用的回用，不能回用的集中清运至指定的地点处理</w:t>
                  </w:r>
                </w:p>
              </w:tc>
              <w:tc>
                <w:tcPr>
                  <w:tcW w:w="479" w:type="pct"/>
                  <w:vAlign w:val="center"/>
                </w:tcPr>
                <w:p>
                  <w:pPr>
                    <w:jc w:val="center"/>
                    <w:rPr>
                      <w:color w:val="auto"/>
                      <w:szCs w:val="21"/>
                      <w:lang w:val="zh-CN"/>
                    </w:rPr>
                  </w:pPr>
                  <w:r>
                    <w:rPr>
                      <w:color w:val="auto"/>
                      <w:szCs w:val="21"/>
                      <w:lang w:val="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68" w:type="pct"/>
                  <w:vMerge w:val="continue"/>
                  <w:vAlign w:val="center"/>
                </w:tcPr>
                <w:p>
                  <w:pPr>
                    <w:jc w:val="center"/>
                    <w:rPr>
                      <w:color w:val="auto"/>
                      <w:szCs w:val="21"/>
                      <w:lang w:val="zh-CN"/>
                    </w:rPr>
                  </w:pPr>
                </w:p>
              </w:tc>
              <w:tc>
                <w:tcPr>
                  <w:tcW w:w="402" w:type="pct"/>
                  <w:vMerge w:val="continue"/>
                  <w:vAlign w:val="center"/>
                </w:tcPr>
                <w:p>
                  <w:pPr>
                    <w:jc w:val="center"/>
                    <w:rPr>
                      <w:color w:val="auto"/>
                      <w:szCs w:val="21"/>
                      <w:lang w:val="zh-CN"/>
                    </w:rPr>
                  </w:pPr>
                </w:p>
              </w:tc>
              <w:tc>
                <w:tcPr>
                  <w:tcW w:w="3650" w:type="pct"/>
                  <w:vAlign w:val="center"/>
                </w:tcPr>
                <w:p>
                  <w:pPr>
                    <w:rPr>
                      <w:color w:val="auto"/>
                      <w:szCs w:val="21"/>
                      <w:lang w:val="zh-CN"/>
                    </w:rPr>
                  </w:pPr>
                  <w:r>
                    <w:rPr>
                      <w:color w:val="auto"/>
                      <w:kern w:val="0"/>
                      <w:szCs w:val="21"/>
                      <w:lang w:val="zh-CN" w:bidi="ar"/>
                    </w:rPr>
                    <w:t>生活垃圾：在施工区设置垃圾桶，收集生活垃圾，并配备垃圾清运车，定期清运处理。</w:t>
                  </w:r>
                </w:p>
              </w:tc>
              <w:tc>
                <w:tcPr>
                  <w:tcW w:w="479" w:type="pct"/>
                  <w:vAlign w:val="center"/>
                </w:tcPr>
                <w:p>
                  <w:pPr>
                    <w:jc w:val="center"/>
                    <w:rPr>
                      <w:color w:val="auto"/>
                      <w:szCs w:val="21"/>
                      <w:lang w:val="zh-CN"/>
                    </w:rPr>
                  </w:pPr>
                  <w:r>
                    <w:rPr>
                      <w:color w:val="auto"/>
                      <w:szCs w:val="21"/>
                      <w:lang w:val="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468" w:type="pct"/>
                  <w:vMerge w:val="restart"/>
                  <w:vAlign w:val="center"/>
                </w:tcPr>
                <w:p>
                  <w:pPr>
                    <w:jc w:val="center"/>
                    <w:rPr>
                      <w:color w:val="auto"/>
                      <w:szCs w:val="21"/>
                      <w:lang w:val="zh-CN"/>
                    </w:rPr>
                  </w:pPr>
                  <w:r>
                    <w:rPr>
                      <w:color w:val="auto"/>
                      <w:szCs w:val="21"/>
                      <w:lang w:val="zh-CN"/>
                    </w:rPr>
                    <w:t>生态治理</w:t>
                  </w:r>
                </w:p>
              </w:tc>
              <w:tc>
                <w:tcPr>
                  <w:tcW w:w="4052" w:type="pct"/>
                  <w:gridSpan w:val="2"/>
                  <w:vAlign w:val="center"/>
                </w:tcPr>
                <w:p>
                  <w:pPr>
                    <w:autoSpaceDE w:val="0"/>
                    <w:autoSpaceDN w:val="0"/>
                    <w:adjustRightInd w:val="0"/>
                    <w:jc w:val="left"/>
                    <w:rPr>
                      <w:color w:val="auto"/>
                      <w:kern w:val="0"/>
                      <w:szCs w:val="21"/>
                    </w:rPr>
                  </w:pPr>
                  <w:r>
                    <w:rPr>
                      <w:color w:val="auto"/>
                      <w:szCs w:val="21"/>
                    </w:rPr>
                    <w:t>陆生生态：</w:t>
                  </w:r>
                  <w:r>
                    <w:rPr>
                      <w:color w:val="auto"/>
                      <w:kern w:val="0"/>
                      <w:szCs w:val="21"/>
                    </w:rPr>
                    <w:t>加强施工管理，划定最小作业区域，加强施工过程植物、动物保护，采取分段施工，加强粉尘治理，定时洒水抑尘，减少起尘量，同时及时对施工场地、道路进行土地复垦和迹地恢复，枯水期施工，减少土石方临时堆放裸露时间并及时回填，落实水土保持措施等</w:t>
                  </w:r>
                </w:p>
              </w:tc>
              <w:tc>
                <w:tcPr>
                  <w:tcW w:w="479" w:type="pct"/>
                  <w:vAlign w:val="center"/>
                </w:tcPr>
                <w:p>
                  <w:pPr>
                    <w:jc w:val="center"/>
                    <w:rPr>
                      <w:rFonts w:hint="eastAsia" w:eastAsia="宋体"/>
                      <w:color w:val="auto"/>
                      <w:szCs w:val="21"/>
                      <w:lang w:val="en-US" w:eastAsia="zh-CN"/>
                    </w:rPr>
                  </w:pPr>
                  <w:r>
                    <w:rPr>
                      <w:color w:val="auto"/>
                      <w:szCs w:val="21"/>
                      <w:lang w:val="zh-CN"/>
                    </w:rPr>
                    <w:t>1</w:t>
                  </w:r>
                  <w:r>
                    <w:rPr>
                      <w:rFonts w:hint="eastAsia"/>
                      <w:color w:val="auto"/>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1" w:hRule="atLeast"/>
                <w:jc w:val="center"/>
              </w:trPr>
              <w:tc>
                <w:tcPr>
                  <w:tcW w:w="468" w:type="pct"/>
                  <w:vMerge w:val="continue"/>
                  <w:vAlign w:val="center"/>
                </w:tcPr>
                <w:p>
                  <w:pPr>
                    <w:jc w:val="center"/>
                    <w:rPr>
                      <w:color w:val="auto"/>
                      <w:szCs w:val="21"/>
                      <w:lang w:val="zh-CN"/>
                    </w:rPr>
                  </w:pPr>
                </w:p>
              </w:tc>
              <w:tc>
                <w:tcPr>
                  <w:tcW w:w="4052" w:type="pct"/>
                  <w:gridSpan w:val="2"/>
                  <w:vAlign w:val="center"/>
                </w:tcPr>
                <w:p>
                  <w:pPr>
                    <w:autoSpaceDE w:val="0"/>
                    <w:autoSpaceDN w:val="0"/>
                    <w:adjustRightInd w:val="0"/>
                    <w:rPr>
                      <w:color w:val="auto"/>
                      <w:szCs w:val="21"/>
                    </w:rPr>
                  </w:pPr>
                  <w:r>
                    <w:rPr>
                      <w:color w:val="auto"/>
                      <w:szCs w:val="21"/>
                    </w:rPr>
                    <w:t>水生生态：（1）施工期在枯水期12月~次年3月份的枯水期进行，分段施工，以尽量减少围堰开挖对地表水体的扰动。</w:t>
                  </w:r>
                </w:p>
                <w:p>
                  <w:pPr>
                    <w:numPr>
                      <w:ilvl w:val="0"/>
                      <w:numId w:val="12"/>
                    </w:numPr>
                    <w:autoSpaceDE w:val="0"/>
                    <w:autoSpaceDN w:val="0"/>
                    <w:adjustRightInd w:val="0"/>
                    <w:rPr>
                      <w:color w:val="auto"/>
                      <w:szCs w:val="21"/>
                      <w:lang w:val="zh-CN"/>
                    </w:rPr>
                  </w:pPr>
                  <w:r>
                    <w:rPr>
                      <w:color w:val="auto"/>
                      <w:szCs w:val="21"/>
                    </w:rPr>
                    <w:t>堤防基础施工采取围堰施工，控制施工范围，基坑排水采用水泵抽排，施工期不间断排放</w:t>
                  </w:r>
                  <w:r>
                    <w:rPr>
                      <w:color w:val="auto"/>
                      <w:szCs w:val="21"/>
                      <w:lang w:val="zh-CN"/>
                    </w:rPr>
                    <w:t>。</w:t>
                  </w:r>
                </w:p>
                <w:p>
                  <w:pPr>
                    <w:autoSpaceDE w:val="0"/>
                    <w:autoSpaceDN w:val="0"/>
                    <w:adjustRightInd w:val="0"/>
                    <w:rPr>
                      <w:color w:val="auto"/>
                      <w:szCs w:val="21"/>
                    </w:rPr>
                  </w:pPr>
                  <w:r>
                    <w:rPr>
                      <w:color w:val="auto"/>
                      <w:szCs w:val="21"/>
                    </w:rPr>
                    <w:t>（3）采取分段施工的方式进行施工，每次施工完毕及时在枯水期拆除围堰。</w:t>
                  </w:r>
                </w:p>
                <w:p>
                  <w:pPr>
                    <w:autoSpaceDE w:val="0"/>
                    <w:autoSpaceDN w:val="0"/>
                    <w:adjustRightInd w:val="0"/>
                    <w:rPr>
                      <w:color w:val="auto"/>
                      <w:szCs w:val="21"/>
                    </w:rPr>
                  </w:pPr>
                  <w:r>
                    <w:rPr>
                      <w:color w:val="auto"/>
                      <w:szCs w:val="21"/>
                    </w:rPr>
                    <w:t>（4）建设单位施工人员在施工期内不得随意捕杀周边水域鱼类，不得随意排放污水至周边水体中，尽可能减少对鱼类的影响。</w:t>
                  </w:r>
                </w:p>
                <w:p>
                  <w:pPr>
                    <w:autoSpaceDE w:val="0"/>
                    <w:autoSpaceDN w:val="0"/>
                    <w:adjustRightInd w:val="0"/>
                    <w:rPr>
                      <w:color w:val="auto"/>
                      <w:szCs w:val="21"/>
                    </w:rPr>
                  </w:pPr>
                  <w:r>
                    <w:rPr>
                      <w:color w:val="auto"/>
                      <w:szCs w:val="21"/>
                    </w:rPr>
                    <w:t>（5）</w:t>
                  </w:r>
                  <w:r>
                    <w:rPr>
                      <w:color w:val="auto"/>
                      <w:kern w:val="0"/>
                      <w:szCs w:val="21"/>
                    </w:rPr>
                    <w:t>缩短施工工期，减少生态影响。</w:t>
                  </w:r>
                </w:p>
              </w:tc>
              <w:tc>
                <w:tcPr>
                  <w:tcW w:w="479" w:type="pct"/>
                  <w:vAlign w:val="center"/>
                </w:tcPr>
                <w:p>
                  <w:pPr>
                    <w:jc w:val="center"/>
                    <w:rPr>
                      <w:rFonts w:hint="eastAsia" w:eastAsia="宋体"/>
                      <w:color w:val="auto"/>
                      <w:szCs w:val="21"/>
                      <w:lang w:val="en-US" w:eastAsia="zh-CN"/>
                    </w:rPr>
                  </w:pPr>
                  <w:r>
                    <w:rPr>
                      <w:color w:val="auto"/>
                      <w:szCs w:val="21"/>
                    </w:rPr>
                    <w:t>1</w:t>
                  </w:r>
                  <w:r>
                    <w:rPr>
                      <w:rFonts w:hint="eastAsia"/>
                      <w:color w:val="auto"/>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68" w:type="pct"/>
                  <w:vAlign w:val="center"/>
                </w:tcPr>
                <w:p>
                  <w:pPr>
                    <w:jc w:val="center"/>
                    <w:rPr>
                      <w:color w:val="auto"/>
                      <w:szCs w:val="21"/>
                      <w:lang w:val="zh-CN"/>
                    </w:rPr>
                  </w:pPr>
                  <w:r>
                    <w:rPr>
                      <w:color w:val="auto"/>
                      <w:szCs w:val="21"/>
                      <w:lang w:val="zh-CN"/>
                    </w:rPr>
                    <w:t>环境风险</w:t>
                  </w:r>
                </w:p>
              </w:tc>
              <w:tc>
                <w:tcPr>
                  <w:tcW w:w="4052" w:type="pct"/>
                  <w:gridSpan w:val="2"/>
                  <w:vAlign w:val="center"/>
                </w:tcPr>
                <w:p>
                  <w:pPr>
                    <w:autoSpaceDE w:val="0"/>
                    <w:autoSpaceDN w:val="0"/>
                    <w:adjustRightInd w:val="0"/>
                    <w:rPr>
                      <w:color w:val="auto"/>
                      <w:szCs w:val="21"/>
                    </w:rPr>
                  </w:pPr>
                  <w:r>
                    <w:rPr>
                      <w:color w:val="auto"/>
                      <w:szCs w:val="21"/>
                    </w:rPr>
                    <w:t>制定风险应急预案，加强管理</w:t>
                  </w:r>
                </w:p>
              </w:tc>
              <w:tc>
                <w:tcPr>
                  <w:tcW w:w="479" w:type="pct"/>
                  <w:vAlign w:val="center"/>
                </w:tcPr>
                <w:p>
                  <w:pPr>
                    <w:jc w:val="center"/>
                    <w:rPr>
                      <w:color w:val="auto"/>
                      <w:szCs w:val="21"/>
                      <w:lang w:val="zh-CN"/>
                    </w:rPr>
                  </w:pPr>
                  <w:r>
                    <w:rPr>
                      <w:color w:val="auto"/>
                      <w:szCs w:val="21"/>
                      <w:lang w:val="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68" w:type="pct"/>
                  <w:vAlign w:val="center"/>
                </w:tcPr>
                <w:p>
                  <w:pPr>
                    <w:jc w:val="center"/>
                    <w:rPr>
                      <w:color w:val="auto"/>
                      <w:szCs w:val="21"/>
                      <w:lang w:val="zh-CN"/>
                    </w:rPr>
                  </w:pPr>
                  <w:r>
                    <w:rPr>
                      <w:color w:val="auto"/>
                      <w:szCs w:val="21"/>
                      <w:lang w:val="zh-CN"/>
                    </w:rPr>
                    <w:t>环境管理</w:t>
                  </w:r>
                </w:p>
              </w:tc>
              <w:tc>
                <w:tcPr>
                  <w:tcW w:w="4052" w:type="pct"/>
                  <w:gridSpan w:val="2"/>
                  <w:vAlign w:val="center"/>
                </w:tcPr>
                <w:p>
                  <w:pPr>
                    <w:autoSpaceDE w:val="0"/>
                    <w:autoSpaceDN w:val="0"/>
                    <w:adjustRightInd w:val="0"/>
                    <w:rPr>
                      <w:color w:val="auto"/>
                      <w:kern w:val="0"/>
                      <w:szCs w:val="21"/>
                    </w:rPr>
                  </w:pPr>
                  <w:r>
                    <w:rPr>
                      <w:color w:val="auto"/>
                      <w:kern w:val="0"/>
                      <w:szCs w:val="21"/>
                    </w:rPr>
                    <w:t>建立完善的环境监理、环境管理等。加强施工环境管理和员工环保培训，制定应急预案，确保环保措施落实</w:t>
                  </w:r>
                  <w:r>
                    <w:rPr>
                      <w:color w:val="auto"/>
                      <w:szCs w:val="21"/>
                    </w:rPr>
                    <w:t>。</w:t>
                  </w:r>
                </w:p>
              </w:tc>
              <w:tc>
                <w:tcPr>
                  <w:tcW w:w="479" w:type="pct"/>
                  <w:vAlign w:val="center"/>
                </w:tcPr>
                <w:p>
                  <w:pPr>
                    <w:jc w:val="center"/>
                    <w:rPr>
                      <w:color w:val="auto"/>
                      <w:szCs w:val="21"/>
                    </w:rPr>
                  </w:pPr>
                  <w:r>
                    <w:rPr>
                      <w:color w:val="auto"/>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468" w:type="pct"/>
                  <w:vAlign w:val="center"/>
                </w:tcPr>
                <w:p>
                  <w:pPr>
                    <w:jc w:val="center"/>
                    <w:rPr>
                      <w:color w:val="auto"/>
                      <w:szCs w:val="21"/>
                      <w:lang w:val="zh-CN"/>
                    </w:rPr>
                  </w:pPr>
                  <w:r>
                    <w:rPr>
                      <w:color w:val="auto"/>
                      <w:szCs w:val="21"/>
                      <w:lang w:val="zh-CN"/>
                    </w:rPr>
                    <w:t>合计</w:t>
                  </w:r>
                </w:p>
              </w:tc>
              <w:tc>
                <w:tcPr>
                  <w:tcW w:w="4052" w:type="pct"/>
                  <w:gridSpan w:val="2"/>
                </w:tcPr>
                <w:p>
                  <w:pPr>
                    <w:jc w:val="center"/>
                    <w:rPr>
                      <w:color w:val="auto"/>
                      <w:szCs w:val="21"/>
                      <w:lang w:val="zh-CN"/>
                    </w:rPr>
                  </w:pPr>
                  <w:r>
                    <w:rPr>
                      <w:color w:val="auto"/>
                      <w:szCs w:val="21"/>
                      <w:lang w:val="zh-CN"/>
                    </w:rPr>
                    <w:t>/</w:t>
                  </w:r>
                </w:p>
              </w:tc>
              <w:tc>
                <w:tcPr>
                  <w:tcW w:w="479" w:type="pct"/>
                  <w:vAlign w:val="center"/>
                </w:tcPr>
                <w:p>
                  <w:pPr>
                    <w:jc w:val="center"/>
                    <w:rPr>
                      <w:color w:val="auto"/>
                      <w:szCs w:val="21"/>
                    </w:rPr>
                  </w:pPr>
                  <w:r>
                    <w:rPr>
                      <w:color w:val="auto"/>
                      <w:szCs w:val="21"/>
                    </w:rPr>
                    <w:t>63</w:t>
                  </w:r>
                </w:p>
              </w:tc>
            </w:tr>
          </w:tbl>
          <w:p>
            <w:pPr>
              <w:adjustRightInd w:val="0"/>
              <w:snapToGrid w:val="0"/>
              <w:rPr>
                <w:bCs/>
                <w:color w:val="auto"/>
                <w:spacing w:val="10"/>
                <w:sz w:val="24"/>
              </w:rPr>
            </w:pPr>
          </w:p>
        </w:tc>
      </w:tr>
    </w:tbl>
    <w:p>
      <w:pPr>
        <w:rPr>
          <w:color w:val="auto"/>
        </w:rPr>
      </w:pPr>
    </w:p>
    <w:p>
      <w:pPr>
        <w:rPr>
          <w:color w:val="auto"/>
        </w:rPr>
        <w:sectPr>
          <w:footerReference r:id="rId8" w:type="default"/>
          <w:pgSz w:w="11907" w:h="16840"/>
          <w:pgMar w:top="1440" w:right="1797" w:bottom="1440" w:left="1797" w:header="851" w:footer="1077" w:gutter="0"/>
          <w:cols w:space="425" w:num="1"/>
          <w:docGrid w:linePitch="312" w:charSpace="0"/>
        </w:sectPr>
      </w:pPr>
    </w:p>
    <w:p>
      <w:pPr>
        <w:pStyle w:val="3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六、生态环境保护措施监督检查清单</w:t>
      </w:r>
    </w:p>
    <w:tbl>
      <w:tblPr>
        <w:tblStyle w:val="36"/>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39"/>
        <w:gridCol w:w="4111"/>
        <w:gridCol w:w="32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restart"/>
            <w:tcBorders>
              <w:tl2br w:val="single" w:color="auto" w:sz="4" w:space="0"/>
            </w:tcBorders>
          </w:tcPr>
          <w:p>
            <w:pPr>
              <w:pStyle w:val="31"/>
              <w:adjustRightInd w:val="0"/>
              <w:snapToGrid w:val="0"/>
              <w:spacing w:before="72" w:beforeLines="3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 xml:space="preserve">   内容</w:t>
            </w:r>
          </w:p>
          <w:p>
            <w:pPr>
              <w:pStyle w:val="31"/>
              <w:adjustRightInd w:val="0"/>
              <w:snapToGrid w:val="0"/>
              <w:spacing w:before="72" w:beforeLines="3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 xml:space="preserve">    </w:t>
            </w:r>
          </w:p>
          <w:p>
            <w:pPr>
              <w:pStyle w:val="31"/>
              <w:adjustRightInd w:val="0"/>
              <w:snapToGrid w:val="0"/>
              <w:spacing w:before="72" w:beforeLines="3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 xml:space="preserve">       </w:t>
            </w:r>
          </w:p>
          <w:p>
            <w:pPr>
              <w:pStyle w:val="31"/>
              <w:adjustRightInd w:val="0"/>
              <w:snapToGrid w:val="0"/>
              <w:spacing w:before="0" w:beforeAutospacing="0" w:after="0" w:afterAutospacing="0" w:line="14" w:lineRule="auto"/>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 xml:space="preserve">  </w:t>
            </w:r>
          </w:p>
          <w:p>
            <w:pPr>
              <w:pStyle w:val="31"/>
              <w:adjustRightInd w:val="0"/>
              <w:snapToGrid w:val="0"/>
              <w:spacing w:before="0" w:beforeAutospacing="0" w:after="0" w:afterAutospacing="0"/>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要素</w:t>
            </w:r>
          </w:p>
        </w:tc>
        <w:tc>
          <w:tcPr>
            <w:tcW w:w="4330" w:type="pct"/>
            <w:gridSpan w:val="2"/>
            <w:vAlign w:val="center"/>
          </w:tcPr>
          <w:p>
            <w:pPr>
              <w:pStyle w:val="31"/>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施工期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continue"/>
          </w:tcPr>
          <w:p>
            <w:pPr>
              <w:pStyle w:val="31"/>
              <w:adjustRightInd w:val="0"/>
              <w:snapToGrid w:val="0"/>
              <w:spacing w:before="0" w:beforeAutospacing="0" w:after="0" w:afterAutospacing="0"/>
              <w:ind w:firstLine="840"/>
              <w:jc w:val="center"/>
              <w:outlineLvl w:val="0"/>
              <w:rPr>
                <w:rFonts w:ascii="Times New Roman" w:hAnsi="Times New Roman" w:eastAsia="黑体"/>
                <w:color w:val="auto"/>
                <w:kern w:val="2"/>
                <w:sz w:val="21"/>
                <w:szCs w:val="21"/>
              </w:rPr>
            </w:pPr>
          </w:p>
        </w:tc>
        <w:tc>
          <w:tcPr>
            <w:tcW w:w="2412" w:type="pct"/>
            <w:vAlign w:val="center"/>
          </w:tcPr>
          <w:p>
            <w:pPr>
              <w:pStyle w:val="31"/>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环境保护措施</w:t>
            </w:r>
          </w:p>
        </w:tc>
        <w:tc>
          <w:tcPr>
            <w:tcW w:w="1918" w:type="pct"/>
            <w:vAlign w:val="center"/>
          </w:tcPr>
          <w:p>
            <w:pPr>
              <w:pStyle w:val="31"/>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陆生生态</w:t>
            </w:r>
          </w:p>
        </w:tc>
        <w:tc>
          <w:tcPr>
            <w:tcW w:w="2412" w:type="pct"/>
            <w:vAlign w:val="center"/>
          </w:tcPr>
          <w:p>
            <w:pPr>
              <w:adjustRightInd w:val="0"/>
              <w:snapToGrid w:val="0"/>
              <w:rPr>
                <w:color w:val="auto"/>
                <w:szCs w:val="21"/>
              </w:rPr>
            </w:pPr>
            <w:r>
              <w:rPr>
                <w:color w:val="auto"/>
                <w:szCs w:val="21"/>
              </w:rPr>
              <w:t>加强施工管理，在土石方开挖时及时进行洒水降尘，并及时对项目沿线道路进行洒水降尘，同时对运输车辆进行封闭或采用篷布覆盖，尽量保持车辆轮胎湿润，减少起尘量。在落实项目扬尘治理措施的前提下，项目施工对陆生植被的影响较小。</w:t>
            </w:r>
          </w:p>
        </w:tc>
        <w:tc>
          <w:tcPr>
            <w:tcW w:w="1918" w:type="pct"/>
            <w:vAlign w:val="center"/>
          </w:tcPr>
          <w:p>
            <w:pPr>
              <w:adjustRightInd w:val="0"/>
              <w:snapToGrid w:val="0"/>
              <w:rPr>
                <w:color w:val="auto"/>
                <w:szCs w:val="21"/>
              </w:rPr>
            </w:pPr>
            <w:r>
              <w:rPr>
                <w:color w:val="auto"/>
                <w:szCs w:val="21"/>
              </w:rPr>
              <w:t>施工临时占地进行迹地恢复，表土等进行回填绿化，禁止随意堆放。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水生生态</w:t>
            </w:r>
          </w:p>
        </w:tc>
        <w:tc>
          <w:tcPr>
            <w:tcW w:w="2412" w:type="pct"/>
            <w:vAlign w:val="center"/>
          </w:tcPr>
          <w:p>
            <w:pPr>
              <w:adjustRightInd w:val="0"/>
              <w:snapToGrid w:val="0"/>
              <w:rPr>
                <w:color w:val="auto"/>
                <w:szCs w:val="21"/>
              </w:rPr>
            </w:pPr>
            <w:r>
              <w:rPr>
                <w:color w:val="auto"/>
                <w:szCs w:val="21"/>
              </w:rPr>
              <w:t>选择枯水期施工，施工材料、土石方不能堆放在河流沿岸附近，各种污染物不得随意排入附近水体，</w:t>
            </w:r>
            <w:r>
              <w:rPr>
                <w:color w:val="auto"/>
                <w:kern w:val="0"/>
                <w:szCs w:val="21"/>
              </w:rPr>
              <w:t>缩短施工工期，减少生态影响。</w:t>
            </w:r>
          </w:p>
        </w:tc>
        <w:tc>
          <w:tcPr>
            <w:tcW w:w="1918" w:type="pct"/>
            <w:vAlign w:val="center"/>
          </w:tcPr>
          <w:p>
            <w:pPr>
              <w:adjustRightInd w:val="0"/>
              <w:snapToGrid w:val="0"/>
              <w:jc w:val="center"/>
              <w:rPr>
                <w:color w:val="auto"/>
                <w:szCs w:val="21"/>
              </w:rPr>
            </w:pPr>
            <w:r>
              <w:rPr>
                <w:color w:val="auto"/>
                <w:szCs w:val="21"/>
              </w:rPr>
              <w:t>施工不会对各渠道施工段水生生物造成明显不利影响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restart"/>
            <w:vAlign w:val="center"/>
          </w:tcPr>
          <w:p>
            <w:pPr>
              <w:adjustRightInd w:val="0"/>
              <w:snapToGrid w:val="0"/>
              <w:jc w:val="center"/>
              <w:rPr>
                <w:color w:val="auto"/>
                <w:szCs w:val="21"/>
              </w:rPr>
            </w:pPr>
            <w:r>
              <w:rPr>
                <w:color w:val="auto"/>
                <w:szCs w:val="21"/>
              </w:rPr>
              <w:t>地表水环境</w:t>
            </w:r>
          </w:p>
        </w:tc>
        <w:tc>
          <w:tcPr>
            <w:tcW w:w="2412" w:type="pct"/>
            <w:vAlign w:val="center"/>
          </w:tcPr>
          <w:p>
            <w:pPr>
              <w:adjustRightInd w:val="0"/>
              <w:snapToGrid w:val="0"/>
              <w:rPr>
                <w:color w:val="auto"/>
                <w:szCs w:val="21"/>
              </w:rPr>
            </w:pPr>
            <w:r>
              <w:rPr>
                <w:color w:val="auto"/>
                <w:szCs w:val="21"/>
              </w:rPr>
              <w:t>基坑排水：采用水泵抽排，每段选用2~4台IS50-32-125型水泵，流量12.5m</w:t>
            </w:r>
            <w:r>
              <w:rPr>
                <w:color w:val="auto"/>
                <w:szCs w:val="21"/>
                <w:vertAlign w:val="superscript"/>
              </w:rPr>
              <w:t>3</w:t>
            </w:r>
            <w:r>
              <w:rPr>
                <w:color w:val="auto"/>
                <w:szCs w:val="21"/>
              </w:rPr>
              <w:t>/h，扬程20m，配带功率2.2kW，施工时段不间断排水</w:t>
            </w:r>
            <w:r>
              <w:rPr>
                <w:color w:val="auto"/>
                <w:szCs w:val="21"/>
                <w:lang w:val="zh-CN"/>
              </w:rPr>
              <w:t>。</w:t>
            </w:r>
          </w:p>
        </w:tc>
        <w:tc>
          <w:tcPr>
            <w:tcW w:w="1918" w:type="pct"/>
            <w:vAlign w:val="center"/>
          </w:tcPr>
          <w:p>
            <w:pPr>
              <w:snapToGrid w:val="0"/>
              <w:jc w:val="center"/>
              <w:rPr>
                <w:color w:val="auto"/>
                <w:szCs w:val="21"/>
              </w:rPr>
            </w:pPr>
            <w:r>
              <w:rPr>
                <w:color w:val="auto"/>
                <w:szCs w:val="21"/>
              </w:rPr>
              <w:t>不会对地表水体造成污染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continue"/>
            <w:vAlign w:val="center"/>
          </w:tcPr>
          <w:p>
            <w:pPr>
              <w:adjustRightInd w:val="0"/>
              <w:snapToGrid w:val="0"/>
              <w:jc w:val="center"/>
              <w:rPr>
                <w:color w:val="auto"/>
                <w:szCs w:val="21"/>
              </w:rPr>
            </w:pPr>
          </w:p>
        </w:tc>
        <w:tc>
          <w:tcPr>
            <w:tcW w:w="2412" w:type="pct"/>
            <w:vAlign w:val="center"/>
          </w:tcPr>
          <w:p>
            <w:pPr>
              <w:adjustRightInd w:val="0"/>
              <w:snapToGrid w:val="0"/>
              <w:rPr>
                <w:color w:val="auto"/>
                <w:szCs w:val="21"/>
              </w:rPr>
            </w:pPr>
            <w:r>
              <w:rPr>
                <w:color w:val="auto"/>
                <w:szCs w:val="21"/>
              </w:rPr>
              <w:t>生活污水：施工期产生的生活污水依托租用居民房屋已建化粪池处理后用于周边农田及林地施肥，不外排。</w:t>
            </w:r>
          </w:p>
        </w:tc>
        <w:tc>
          <w:tcPr>
            <w:tcW w:w="1918" w:type="pct"/>
            <w:vAlign w:val="center"/>
          </w:tcPr>
          <w:p>
            <w:pPr>
              <w:snapToGrid w:val="0"/>
              <w:jc w:val="center"/>
              <w:rPr>
                <w:color w:val="auto"/>
                <w:szCs w:val="21"/>
              </w:rPr>
            </w:pPr>
            <w:r>
              <w:rPr>
                <w:color w:val="auto"/>
                <w:szCs w:val="21"/>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continue"/>
            <w:vAlign w:val="center"/>
          </w:tcPr>
          <w:p>
            <w:pPr>
              <w:adjustRightInd w:val="0"/>
              <w:snapToGrid w:val="0"/>
              <w:jc w:val="center"/>
              <w:rPr>
                <w:color w:val="auto"/>
                <w:szCs w:val="21"/>
              </w:rPr>
            </w:pPr>
          </w:p>
        </w:tc>
        <w:tc>
          <w:tcPr>
            <w:tcW w:w="2412" w:type="pct"/>
            <w:vAlign w:val="center"/>
          </w:tcPr>
          <w:p>
            <w:pPr>
              <w:adjustRightInd w:val="0"/>
              <w:snapToGrid w:val="0"/>
              <w:rPr>
                <w:color w:val="auto"/>
                <w:szCs w:val="21"/>
              </w:rPr>
            </w:pPr>
            <w:r>
              <w:rPr>
                <w:color w:val="auto"/>
                <w:szCs w:val="21"/>
                <w:lang w:val="zh-CN"/>
              </w:rPr>
              <w:t>设备冲洗水：机械设备产生的冲洗废水拟在各个施工场地机械设备场旁边设置10m</w:t>
            </w:r>
            <w:r>
              <w:rPr>
                <w:color w:val="auto"/>
                <w:szCs w:val="21"/>
                <w:vertAlign w:val="superscript"/>
                <w:lang w:val="zh-CN"/>
              </w:rPr>
              <w:t>3</w:t>
            </w:r>
            <w:r>
              <w:rPr>
                <w:color w:val="auto"/>
                <w:szCs w:val="21"/>
                <w:lang w:val="zh-CN"/>
              </w:rPr>
              <w:t>沉淀池进行处理，冲洗废水通过沉淀之后回用于施工车辆车轮冲洗过程中，循环使用，不外排。</w:t>
            </w:r>
          </w:p>
        </w:tc>
        <w:tc>
          <w:tcPr>
            <w:tcW w:w="1918" w:type="pct"/>
            <w:vAlign w:val="center"/>
          </w:tcPr>
          <w:p>
            <w:pPr>
              <w:snapToGrid w:val="0"/>
              <w:jc w:val="center"/>
              <w:rPr>
                <w:color w:val="auto"/>
                <w:szCs w:val="21"/>
              </w:rPr>
            </w:pPr>
            <w:r>
              <w:rPr>
                <w:color w:val="auto"/>
                <w:szCs w:val="21"/>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continue"/>
            <w:vAlign w:val="center"/>
          </w:tcPr>
          <w:p>
            <w:pPr>
              <w:adjustRightInd w:val="0"/>
              <w:snapToGrid w:val="0"/>
              <w:jc w:val="center"/>
              <w:rPr>
                <w:color w:val="auto"/>
                <w:szCs w:val="21"/>
              </w:rPr>
            </w:pPr>
          </w:p>
        </w:tc>
        <w:tc>
          <w:tcPr>
            <w:tcW w:w="2412" w:type="pct"/>
            <w:vAlign w:val="center"/>
          </w:tcPr>
          <w:p>
            <w:pPr>
              <w:adjustRightInd w:val="0"/>
              <w:snapToGrid w:val="0"/>
              <w:rPr>
                <w:color w:val="auto"/>
                <w:szCs w:val="21"/>
                <w:lang w:val="zh-CN"/>
              </w:rPr>
            </w:pPr>
            <w:r>
              <w:rPr>
                <w:color w:val="auto"/>
                <w:szCs w:val="21"/>
              </w:rPr>
              <w:t>淤料脱水废水：开挖的清淤料运输至临时堆料场脱水暂存，清淤料经</w:t>
            </w:r>
            <w:r>
              <w:rPr>
                <w:rFonts w:hint="eastAsia"/>
                <w:color w:val="auto"/>
                <w:szCs w:val="21"/>
                <w:lang w:val="en-US" w:eastAsia="zh-CN"/>
              </w:rPr>
              <w:t>晾晒</w:t>
            </w:r>
            <w:r>
              <w:rPr>
                <w:color w:val="auto"/>
                <w:szCs w:val="21"/>
              </w:rPr>
              <w:t>脱水处理后产生的废水，收集后由临时堆料场的沉淀池处理，用于场内洒水降尘和车辆冲洗，不外排。</w:t>
            </w:r>
          </w:p>
        </w:tc>
        <w:tc>
          <w:tcPr>
            <w:tcW w:w="1918" w:type="pct"/>
            <w:vAlign w:val="center"/>
          </w:tcPr>
          <w:p>
            <w:pPr>
              <w:snapToGrid w:val="0"/>
              <w:jc w:val="center"/>
              <w:rPr>
                <w:color w:val="auto"/>
                <w:szCs w:val="21"/>
              </w:rPr>
            </w:pPr>
            <w:r>
              <w:rPr>
                <w:color w:val="auto"/>
                <w:szCs w:val="21"/>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地下水及土壤环境</w:t>
            </w:r>
          </w:p>
        </w:tc>
        <w:tc>
          <w:tcPr>
            <w:tcW w:w="2412" w:type="pct"/>
            <w:vAlign w:val="center"/>
          </w:tcPr>
          <w:p>
            <w:pPr>
              <w:adjustRightInd w:val="0"/>
              <w:snapToGrid w:val="0"/>
              <w:jc w:val="center"/>
              <w:rPr>
                <w:color w:val="auto"/>
                <w:szCs w:val="21"/>
              </w:rPr>
            </w:pPr>
            <w:r>
              <w:rPr>
                <w:color w:val="auto"/>
                <w:szCs w:val="21"/>
              </w:rPr>
              <w:t>/</w:t>
            </w:r>
          </w:p>
        </w:tc>
        <w:tc>
          <w:tcPr>
            <w:tcW w:w="1918" w:type="pct"/>
            <w:vAlign w:val="center"/>
          </w:tcPr>
          <w:p>
            <w:pPr>
              <w:adjustRightInd w:val="0"/>
              <w:snapToGrid w:val="0"/>
              <w:jc w:val="center"/>
              <w:rPr>
                <w:color w:val="auto"/>
                <w:szCs w:val="21"/>
              </w:rPr>
            </w:pPr>
            <w:r>
              <w:rPr>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声环境</w:t>
            </w:r>
          </w:p>
        </w:tc>
        <w:tc>
          <w:tcPr>
            <w:tcW w:w="2412" w:type="pct"/>
            <w:vAlign w:val="center"/>
          </w:tcPr>
          <w:p>
            <w:pPr>
              <w:adjustRightInd w:val="0"/>
              <w:snapToGrid w:val="0"/>
              <w:jc w:val="left"/>
              <w:rPr>
                <w:color w:val="auto"/>
                <w:szCs w:val="21"/>
              </w:rPr>
            </w:pPr>
            <w:r>
              <w:rPr>
                <w:color w:val="auto"/>
                <w:szCs w:val="21"/>
              </w:rPr>
              <w:t>通过选用低噪声设备、进行施工公告、合理安排运输物料和施工时间、打围施工、中高考期间禁止施工、加强各路段管理、协调施工车辆通行时间等。</w:t>
            </w:r>
          </w:p>
        </w:tc>
        <w:tc>
          <w:tcPr>
            <w:tcW w:w="1918" w:type="pct"/>
            <w:vAlign w:val="center"/>
          </w:tcPr>
          <w:p>
            <w:pPr>
              <w:adjustRightInd w:val="0"/>
              <w:snapToGrid w:val="0"/>
              <w:rPr>
                <w:color w:val="auto"/>
                <w:szCs w:val="21"/>
              </w:rPr>
            </w:pPr>
            <w:r>
              <w:rPr>
                <w:color w:val="auto"/>
                <w:szCs w:val="21"/>
              </w:rPr>
              <w:t>满足《声环境质量标准》（GB3096-2008）中2类标准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振动</w:t>
            </w:r>
          </w:p>
        </w:tc>
        <w:tc>
          <w:tcPr>
            <w:tcW w:w="2412" w:type="pct"/>
            <w:vAlign w:val="center"/>
          </w:tcPr>
          <w:p>
            <w:pPr>
              <w:adjustRightInd w:val="0"/>
              <w:snapToGrid w:val="0"/>
              <w:jc w:val="left"/>
              <w:rPr>
                <w:color w:val="auto"/>
                <w:szCs w:val="21"/>
              </w:rPr>
            </w:pPr>
            <w:r>
              <w:rPr>
                <w:color w:val="auto"/>
                <w:szCs w:val="21"/>
              </w:rPr>
              <w:t>对各施工设备设置减振垫进行作业。避免多台设备同时作业。</w:t>
            </w:r>
          </w:p>
        </w:tc>
        <w:tc>
          <w:tcPr>
            <w:tcW w:w="1918" w:type="pct"/>
            <w:vAlign w:val="center"/>
          </w:tcPr>
          <w:p>
            <w:pPr>
              <w:adjustRightInd w:val="0"/>
              <w:snapToGrid w:val="0"/>
              <w:jc w:val="center"/>
              <w:rPr>
                <w:color w:val="auto"/>
                <w:szCs w:val="21"/>
              </w:rPr>
            </w:pPr>
            <w:r>
              <w:rPr>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restart"/>
            <w:vAlign w:val="center"/>
          </w:tcPr>
          <w:p>
            <w:pPr>
              <w:adjustRightInd w:val="0"/>
              <w:snapToGrid w:val="0"/>
              <w:jc w:val="center"/>
              <w:rPr>
                <w:color w:val="auto"/>
                <w:szCs w:val="21"/>
              </w:rPr>
            </w:pPr>
            <w:r>
              <w:rPr>
                <w:color w:val="auto"/>
                <w:szCs w:val="21"/>
              </w:rPr>
              <w:t>大气环境</w:t>
            </w:r>
          </w:p>
        </w:tc>
        <w:tc>
          <w:tcPr>
            <w:tcW w:w="2412" w:type="pct"/>
            <w:vAlign w:val="center"/>
          </w:tcPr>
          <w:p>
            <w:pPr>
              <w:adjustRightInd w:val="0"/>
              <w:snapToGrid w:val="0"/>
              <w:jc w:val="left"/>
              <w:rPr>
                <w:color w:val="auto"/>
                <w:szCs w:val="21"/>
              </w:rPr>
            </w:pPr>
            <w:r>
              <w:rPr>
                <w:b/>
                <w:bCs/>
                <w:color w:val="auto"/>
                <w:szCs w:val="21"/>
              </w:rPr>
              <w:t>施工扬尘：</w:t>
            </w:r>
            <w:r>
              <w:rPr>
                <w:color w:val="auto"/>
                <w:szCs w:val="21"/>
              </w:rPr>
              <w:t>施工场地和道路等硬化、定期洒水降尘、使用商品混凝土、湿法作业、建筑材料等进行防尘遮挡覆盖、设置围挡及喷淋措施等；</w:t>
            </w:r>
            <w:r>
              <w:rPr>
                <w:b/>
                <w:bCs/>
                <w:color w:val="auto"/>
                <w:szCs w:val="21"/>
              </w:rPr>
              <w:t>道路运输扬尘：</w:t>
            </w:r>
            <w:r>
              <w:rPr>
                <w:color w:val="auto"/>
                <w:szCs w:val="21"/>
              </w:rPr>
              <w:t xml:space="preserve">洒水降尘、运输车辆加盖篷布等； </w:t>
            </w:r>
          </w:p>
        </w:tc>
        <w:tc>
          <w:tcPr>
            <w:tcW w:w="1918" w:type="pct"/>
            <w:vMerge w:val="restart"/>
            <w:vAlign w:val="center"/>
          </w:tcPr>
          <w:p>
            <w:pPr>
              <w:adjustRightInd w:val="0"/>
              <w:snapToGrid w:val="0"/>
              <w:rPr>
                <w:color w:val="auto"/>
                <w:szCs w:val="21"/>
              </w:rPr>
            </w:pPr>
            <w:r>
              <w:rPr>
                <w:color w:val="auto"/>
                <w:szCs w:val="21"/>
              </w:rPr>
              <w:t>满足《四川省施工场地扬尘排放标准》（DB51/2682 -2020）表1中广元市限值要求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continue"/>
            <w:vAlign w:val="center"/>
          </w:tcPr>
          <w:p>
            <w:pPr>
              <w:adjustRightInd w:val="0"/>
              <w:snapToGrid w:val="0"/>
              <w:jc w:val="center"/>
              <w:rPr>
                <w:color w:val="auto"/>
                <w:szCs w:val="21"/>
              </w:rPr>
            </w:pPr>
          </w:p>
        </w:tc>
        <w:tc>
          <w:tcPr>
            <w:tcW w:w="2412" w:type="pct"/>
            <w:vAlign w:val="center"/>
          </w:tcPr>
          <w:p>
            <w:pPr>
              <w:adjustRightInd w:val="0"/>
              <w:snapToGrid w:val="0"/>
              <w:jc w:val="left"/>
              <w:rPr>
                <w:color w:val="auto"/>
                <w:szCs w:val="21"/>
              </w:rPr>
            </w:pPr>
            <w:r>
              <w:rPr>
                <w:b/>
                <w:bCs/>
                <w:color w:val="auto"/>
                <w:szCs w:val="21"/>
              </w:rPr>
              <w:t>施工车辆及施工机械尾气：</w:t>
            </w:r>
            <w:r>
              <w:rPr>
                <w:color w:val="auto"/>
                <w:szCs w:val="21"/>
              </w:rPr>
              <w:t>燃油废气排放量小且场地较开阔、机动车定期检测尾气达标情况。</w:t>
            </w:r>
          </w:p>
        </w:tc>
        <w:tc>
          <w:tcPr>
            <w:tcW w:w="1918" w:type="pct"/>
            <w:vMerge w:val="continue"/>
            <w:vAlign w:val="center"/>
          </w:tcPr>
          <w:p>
            <w:pPr>
              <w:adjustRightInd w:val="0"/>
              <w:snapToGrid w:val="0"/>
              <w:rPr>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restart"/>
            <w:vAlign w:val="center"/>
          </w:tcPr>
          <w:p>
            <w:pPr>
              <w:adjustRightInd w:val="0"/>
              <w:snapToGrid w:val="0"/>
              <w:jc w:val="center"/>
              <w:rPr>
                <w:color w:val="auto"/>
                <w:szCs w:val="21"/>
              </w:rPr>
            </w:pPr>
            <w:r>
              <w:rPr>
                <w:color w:val="auto"/>
                <w:szCs w:val="21"/>
              </w:rPr>
              <w:t>固体废物</w:t>
            </w:r>
          </w:p>
        </w:tc>
        <w:tc>
          <w:tcPr>
            <w:tcW w:w="2412" w:type="pct"/>
            <w:vAlign w:val="center"/>
          </w:tcPr>
          <w:p>
            <w:pPr>
              <w:snapToGrid w:val="0"/>
              <w:rPr>
                <w:color w:val="auto"/>
                <w:szCs w:val="21"/>
              </w:rPr>
            </w:pPr>
            <w:r>
              <w:rPr>
                <w:color w:val="auto"/>
                <w:szCs w:val="21"/>
              </w:rPr>
              <w:t>废弃建筑材料：分类回收利用，不能回收利用的清运至建筑垃圾堆放场处置。</w:t>
            </w:r>
          </w:p>
        </w:tc>
        <w:tc>
          <w:tcPr>
            <w:tcW w:w="1918" w:type="pct"/>
            <w:vMerge w:val="restart"/>
            <w:vAlign w:val="center"/>
          </w:tcPr>
          <w:p>
            <w:pPr>
              <w:snapToGrid w:val="0"/>
              <w:jc w:val="center"/>
              <w:rPr>
                <w:color w:val="auto"/>
                <w:szCs w:val="21"/>
              </w:rPr>
            </w:pPr>
            <w:r>
              <w:rPr>
                <w:color w:val="auto"/>
                <w:szCs w:val="21"/>
              </w:rPr>
              <w:t>禁止随意堆放、禁止抛洒进入碗河、厚坝河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continue"/>
            <w:vAlign w:val="center"/>
          </w:tcPr>
          <w:p>
            <w:pPr>
              <w:adjustRightInd w:val="0"/>
              <w:snapToGrid w:val="0"/>
              <w:jc w:val="center"/>
              <w:rPr>
                <w:color w:val="auto"/>
                <w:szCs w:val="21"/>
              </w:rPr>
            </w:pPr>
          </w:p>
        </w:tc>
        <w:tc>
          <w:tcPr>
            <w:tcW w:w="2412" w:type="pct"/>
            <w:vAlign w:val="center"/>
          </w:tcPr>
          <w:p>
            <w:pPr>
              <w:snapToGrid w:val="0"/>
              <w:rPr>
                <w:color w:val="auto"/>
                <w:szCs w:val="21"/>
              </w:rPr>
            </w:pPr>
            <w:r>
              <w:rPr>
                <w:color w:val="auto"/>
                <w:szCs w:val="21"/>
              </w:rPr>
              <w:t>废弃土石方：本项目不设置弃渣场，</w:t>
            </w:r>
            <w:r>
              <w:rPr>
                <w:rFonts w:hint="default"/>
                <w:color w:val="auto"/>
                <w:szCs w:val="21"/>
              </w:rPr>
              <w:t>施工产生的</w:t>
            </w:r>
            <w:r>
              <w:rPr>
                <w:rFonts w:hint="default"/>
                <w:color w:val="auto"/>
                <w:szCs w:val="21"/>
                <w:lang w:val="en-US" w:eastAsia="zh-CN"/>
              </w:rPr>
              <w:t>余方</w:t>
            </w:r>
            <w:r>
              <w:rPr>
                <w:rFonts w:hint="default"/>
                <w:color w:val="auto"/>
                <w:szCs w:val="21"/>
              </w:rPr>
              <w:t>用于</w:t>
            </w:r>
            <w:r>
              <w:rPr>
                <w:rFonts w:hint="default"/>
                <w:color w:val="auto"/>
                <w:szCs w:val="21"/>
                <w:lang w:val="en-US" w:eastAsia="zh-CN"/>
              </w:rPr>
              <w:t>部分堤防</w:t>
            </w:r>
            <w:r>
              <w:rPr>
                <w:rFonts w:hint="default"/>
                <w:color w:val="auto"/>
                <w:szCs w:val="21"/>
              </w:rPr>
              <w:t>堤后</w:t>
            </w:r>
            <w:r>
              <w:rPr>
                <w:rFonts w:hint="default"/>
                <w:color w:val="auto"/>
                <w:szCs w:val="21"/>
                <w:lang w:eastAsia="zh-CN"/>
              </w:rPr>
              <w:t>（</w:t>
            </w:r>
            <w:r>
              <w:rPr>
                <w:rFonts w:hint="default"/>
                <w:color w:val="auto"/>
                <w:szCs w:val="21"/>
                <w:lang w:val="en-US" w:eastAsia="zh-CN"/>
              </w:rPr>
              <w:t>堤后3m内</w:t>
            </w:r>
            <w:r>
              <w:rPr>
                <w:rFonts w:hint="default"/>
                <w:color w:val="auto"/>
                <w:szCs w:val="21"/>
                <w:lang w:eastAsia="zh-CN"/>
              </w:rPr>
              <w:t>）</w:t>
            </w:r>
            <w:r>
              <w:rPr>
                <w:rFonts w:hint="default"/>
                <w:color w:val="auto"/>
                <w:szCs w:val="21"/>
                <w:lang w:val="en-US" w:eastAsia="zh-CN"/>
              </w:rPr>
              <w:t>低洼处</w:t>
            </w:r>
            <w:r>
              <w:rPr>
                <w:rFonts w:hint="default"/>
                <w:color w:val="auto"/>
                <w:szCs w:val="21"/>
              </w:rPr>
              <w:t>回填</w:t>
            </w:r>
            <w:r>
              <w:rPr>
                <w:color w:val="auto"/>
                <w:szCs w:val="21"/>
              </w:rPr>
              <w:t>，土方用于施工场地迹地恢复。</w:t>
            </w:r>
          </w:p>
        </w:tc>
        <w:tc>
          <w:tcPr>
            <w:tcW w:w="1918" w:type="pct"/>
            <w:vMerge w:val="continue"/>
            <w:vAlign w:val="center"/>
          </w:tcPr>
          <w:p>
            <w:pPr>
              <w:snapToGrid w:val="0"/>
              <w:jc w:val="center"/>
              <w:rPr>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Merge w:val="continue"/>
            <w:vAlign w:val="center"/>
          </w:tcPr>
          <w:p>
            <w:pPr>
              <w:adjustRightInd w:val="0"/>
              <w:snapToGrid w:val="0"/>
              <w:jc w:val="center"/>
              <w:rPr>
                <w:color w:val="auto"/>
                <w:szCs w:val="21"/>
              </w:rPr>
            </w:pPr>
          </w:p>
        </w:tc>
        <w:tc>
          <w:tcPr>
            <w:tcW w:w="2412" w:type="pct"/>
            <w:vAlign w:val="center"/>
          </w:tcPr>
          <w:p>
            <w:pPr>
              <w:snapToGrid w:val="0"/>
              <w:rPr>
                <w:color w:val="auto"/>
                <w:szCs w:val="21"/>
              </w:rPr>
            </w:pPr>
            <w:r>
              <w:rPr>
                <w:color w:val="auto"/>
                <w:szCs w:val="21"/>
              </w:rPr>
              <w:t>生活垃圾：经袋装分类收集后暂存于垃圾收集桶内，当天交当地环卫部门清运。</w:t>
            </w:r>
          </w:p>
        </w:tc>
        <w:tc>
          <w:tcPr>
            <w:tcW w:w="1918" w:type="pct"/>
            <w:vMerge w:val="continue"/>
            <w:vAlign w:val="center"/>
          </w:tcPr>
          <w:p>
            <w:pPr>
              <w:snapToGrid w:val="0"/>
              <w:jc w:val="center"/>
              <w:rPr>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电磁环境</w:t>
            </w:r>
          </w:p>
        </w:tc>
        <w:tc>
          <w:tcPr>
            <w:tcW w:w="2412" w:type="pct"/>
            <w:vAlign w:val="center"/>
          </w:tcPr>
          <w:p>
            <w:pPr>
              <w:adjustRightInd w:val="0"/>
              <w:snapToGrid w:val="0"/>
              <w:jc w:val="center"/>
              <w:rPr>
                <w:color w:val="auto"/>
                <w:szCs w:val="21"/>
              </w:rPr>
            </w:pPr>
            <w:r>
              <w:rPr>
                <w:color w:val="auto"/>
                <w:szCs w:val="21"/>
              </w:rPr>
              <w:t>/</w:t>
            </w:r>
          </w:p>
        </w:tc>
        <w:tc>
          <w:tcPr>
            <w:tcW w:w="1918" w:type="pct"/>
            <w:vAlign w:val="center"/>
          </w:tcPr>
          <w:p>
            <w:pPr>
              <w:adjustRightInd w:val="0"/>
              <w:snapToGrid w:val="0"/>
              <w:jc w:val="center"/>
              <w:rPr>
                <w:color w:val="auto"/>
                <w:szCs w:val="21"/>
              </w:rPr>
            </w:pPr>
            <w:r>
              <w:rPr>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环境风险</w:t>
            </w:r>
          </w:p>
        </w:tc>
        <w:tc>
          <w:tcPr>
            <w:tcW w:w="2412" w:type="pct"/>
            <w:vAlign w:val="center"/>
          </w:tcPr>
          <w:p>
            <w:pPr>
              <w:adjustRightInd w:val="0"/>
              <w:snapToGrid w:val="0"/>
              <w:rPr>
                <w:color w:val="auto"/>
                <w:szCs w:val="21"/>
              </w:rPr>
            </w:pPr>
            <w:r>
              <w:rPr>
                <w:rFonts w:hint="eastAsia"/>
                <w:color w:val="auto"/>
                <w:szCs w:val="21"/>
                <w:lang w:val="en-US" w:eastAsia="zh-CN"/>
              </w:rPr>
              <w:t>定时检修隔油沉淀池，破碎泄漏时需检修完成再开始施工；</w:t>
            </w:r>
            <w:r>
              <w:rPr>
                <w:color w:val="auto"/>
                <w:szCs w:val="21"/>
              </w:rPr>
              <w:t>避开</w:t>
            </w:r>
            <w:r>
              <w:rPr>
                <w:rFonts w:hint="eastAsia"/>
                <w:color w:val="auto"/>
                <w:szCs w:val="21"/>
                <w:lang w:val="en-US" w:eastAsia="zh-CN"/>
              </w:rPr>
              <w:t>暴雨</w:t>
            </w:r>
            <w:r>
              <w:rPr>
                <w:color w:val="auto"/>
                <w:szCs w:val="21"/>
              </w:rPr>
              <w:t>施工</w:t>
            </w:r>
            <w:r>
              <w:rPr>
                <w:color w:val="auto"/>
                <w:kern w:val="0"/>
                <w:szCs w:val="21"/>
                <w:lang w:val="zh-CN"/>
              </w:rPr>
              <w:t>。</w:t>
            </w:r>
          </w:p>
        </w:tc>
        <w:tc>
          <w:tcPr>
            <w:tcW w:w="1918" w:type="pct"/>
            <w:vAlign w:val="center"/>
          </w:tcPr>
          <w:p>
            <w:pPr>
              <w:adjustRightInd w:val="0"/>
              <w:snapToGrid w:val="0"/>
              <w:jc w:val="center"/>
              <w:rPr>
                <w:color w:val="auto"/>
                <w:szCs w:val="21"/>
              </w:rPr>
            </w:pPr>
            <w:r>
              <w:rPr>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环境监测</w:t>
            </w:r>
          </w:p>
        </w:tc>
        <w:tc>
          <w:tcPr>
            <w:tcW w:w="2412" w:type="pct"/>
            <w:vAlign w:val="center"/>
          </w:tcPr>
          <w:p>
            <w:pPr>
              <w:pStyle w:val="16"/>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w:t>
            </w:r>
          </w:p>
        </w:tc>
        <w:tc>
          <w:tcPr>
            <w:tcW w:w="1918" w:type="pct"/>
            <w:vAlign w:val="center"/>
          </w:tcPr>
          <w:p>
            <w:pPr>
              <w:adjustRightInd w:val="0"/>
              <w:snapToGrid w:val="0"/>
              <w:jc w:val="center"/>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69" w:type="pct"/>
            <w:vAlign w:val="center"/>
          </w:tcPr>
          <w:p>
            <w:pPr>
              <w:adjustRightInd w:val="0"/>
              <w:snapToGrid w:val="0"/>
              <w:jc w:val="center"/>
              <w:rPr>
                <w:color w:val="auto"/>
                <w:szCs w:val="21"/>
              </w:rPr>
            </w:pPr>
            <w:r>
              <w:rPr>
                <w:color w:val="auto"/>
                <w:szCs w:val="21"/>
              </w:rPr>
              <w:t>其他</w:t>
            </w:r>
          </w:p>
        </w:tc>
        <w:tc>
          <w:tcPr>
            <w:tcW w:w="2412" w:type="pct"/>
            <w:vAlign w:val="center"/>
          </w:tcPr>
          <w:p>
            <w:pPr>
              <w:pStyle w:val="16"/>
              <w:rPr>
                <w:rFonts w:ascii="Times New Roman" w:hAnsi="Times New Roman"/>
                <w:color w:val="auto"/>
              </w:rPr>
            </w:pPr>
            <w:r>
              <w:rPr>
                <w:rFonts w:ascii="Times New Roman" w:hAnsi="Times New Roman"/>
                <w:bCs/>
                <w:color w:val="auto"/>
              </w:rPr>
              <w:t>在施工过程中如发现文物，应马上停止挖掘工程，并把有关情况报告给当地文物部门，在文物主管部门未结束文物鉴定工作及采取必要的保护措施前，不能进行挖掘工程。</w:t>
            </w:r>
          </w:p>
        </w:tc>
        <w:tc>
          <w:tcPr>
            <w:tcW w:w="1918" w:type="pct"/>
            <w:vAlign w:val="center"/>
          </w:tcPr>
          <w:p>
            <w:pPr>
              <w:pStyle w:val="16"/>
              <w:jc w:val="center"/>
              <w:rPr>
                <w:rFonts w:ascii="Times New Roman" w:hAnsi="Times New Roman"/>
                <w:color w:val="auto"/>
              </w:rPr>
            </w:pPr>
            <w:r>
              <w:rPr>
                <w:rFonts w:ascii="Times New Roman" w:hAnsi="Times New Roman"/>
                <w:bCs/>
                <w:color w:val="auto"/>
              </w:rPr>
              <w:t>/</w:t>
            </w:r>
          </w:p>
        </w:tc>
      </w:tr>
    </w:tbl>
    <w:p>
      <w:pPr>
        <w:pStyle w:val="31"/>
        <w:spacing w:before="0" w:beforeAutospacing="0" w:line="14"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br w:type="page"/>
      </w:r>
    </w:p>
    <w:p>
      <w:pPr>
        <w:pStyle w:val="3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七、结论</w:t>
      </w:r>
    </w:p>
    <w:tbl>
      <w:tblPr>
        <w:tblStyle w:val="36"/>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pPr>
              <w:widowControl/>
              <w:adjustRightInd w:val="0"/>
              <w:snapToGrid w:val="0"/>
              <w:spacing w:before="240" w:beforeLines="100" w:line="360" w:lineRule="auto"/>
              <w:ind w:firstLine="482"/>
              <w:rPr>
                <w:color w:val="auto"/>
                <w:sz w:val="24"/>
              </w:rPr>
            </w:pPr>
            <w:r>
              <w:rPr>
                <w:color w:val="auto"/>
                <w:sz w:val="24"/>
              </w:rPr>
              <w:t>本项目建设符合国家相关产业政策，项目的建设符合规划要求，采取的各项污染防治措施技术经济可行。在严格执行“三同时”制度、全面落实本评价提出的各项环保治理措施条件下，本项目的实施不会改变当地的环境质量及生态环境现状。因此，从环境保护的角度而言，本项目的实施是可行的。</w:t>
            </w:r>
          </w:p>
        </w:tc>
      </w:tr>
    </w:tbl>
    <w:p>
      <w:pPr>
        <w:widowControl/>
        <w:adjustRightInd w:val="0"/>
        <w:snapToGrid w:val="0"/>
        <w:spacing w:before="192" w:beforeLines="80"/>
        <w:jc w:val="left"/>
        <w:rPr>
          <w:color w:val="auto"/>
        </w:rPr>
      </w:pPr>
    </w:p>
    <w:p>
      <w:pPr>
        <w:widowControl/>
        <w:adjustRightInd w:val="0"/>
        <w:snapToGrid w:val="0"/>
        <w:spacing w:line="160" w:lineRule="atLeast"/>
        <w:jc w:val="left"/>
        <w:rPr>
          <w:color w:val="auto"/>
          <w:sz w:val="24"/>
        </w:rPr>
      </w:pPr>
    </w:p>
    <w:sectPr>
      <w:pgSz w:w="11906" w:h="16838"/>
      <w:pgMar w:top="1440" w:right="1800" w:bottom="1440" w:left="1800" w:header="851" w:footer="1077"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方正仿宋_GBK">
    <w:altName w:val="宋体"/>
    <w:panose1 w:val="00000000000000000000"/>
    <w:charset w:val="86"/>
    <w:family w:val="script"/>
    <w:pitch w:val="default"/>
    <w:sig w:usb0="00000000" w:usb1="00000000" w:usb2="00000000" w:usb3="00000000" w:csb0="00040000" w:csb1="00000000"/>
  </w:font>
  <w:font w:name="宋体..輀.">
    <w:altName w:val="宋体"/>
    <w:panose1 w:val="00000000000000000000"/>
    <w:charset w:val="86"/>
    <w:family w:val="roma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Gloucester MT Extra Condensed">
    <w:altName w:val="MT Extra"/>
    <w:panose1 w:val="02030808020601010101"/>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Impact">
    <w:panose1 w:val="020B0806030902050204"/>
    <w:charset w:val="00"/>
    <w:family w:val="swiss"/>
    <w:pitch w:val="default"/>
    <w:sig w:usb0="00000287" w:usb1="00000000" w:usb2="00000000" w:usb3="00000000" w:csb0="2000009F" w:csb1="DFD70000"/>
  </w:font>
  <w:font w:name="Arial Unicode MS">
    <w:altName w:val="宋体"/>
    <w:panose1 w:val="020B0604020202020204"/>
    <w:charset w:val="86"/>
    <w:family w:val="swiss"/>
    <w:pitch w:val="default"/>
    <w:sig w:usb0="00000000" w:usb1="00000000" w:usb2="0000003F" w:usb3="00000000" w:csb0="003F01FF" w:csb1="00000000"/>
  </w:font>
  <w:font w:name="MingLiU">
    <w:altName w:val="PMingLiU-ExtB"/>
    <w:panose1 w:val="02010609000101010101"/>
    <w:charset w:val="88"/>
    <w:family w:val="modern"/>
    <w:pitch w:val="default"/>
    <w:sig w:usb0="00000000" w:usb1="00000000" w:usb2="00000016" w:usb3="00000000" w:csb0="00100001" w:csb1="00000000"/>
  </w:font>
  <w:font w:name="Sylfaen">
    <w:panose1 w:val="010A0502050306030303"/>
    <w:charset w:val="00"/>
    <w:family w:val="roman"/>
    <w:pitch w:val="default"/>
    <w:sig w:usb0="04000687" w:usb1="00000000" w:usb2="00000000" w:usb3="00000000" w:csb0="2000009F" w:csb1="00000000"/>
  </w:font>
  <w:font w:name="Gulim">
    <w:altName w:val="Malgun Gothic"/>
    <w:panose1 w:val="020B0600000101010101"/>
    <w:charset w:val="81"/>
    <w:family w:val="swiss"/>
    <w:pitch w:val="default"/>
    <w:sig w:usb0="00000000" w:usb1="00000000" w:usb2="00000030" w:usb3="00000000" w:csb0="0008009F" w:csb1="00000000"/>
  </w:font>
  <w:font w:name="华文中宋">
    <w:panose1 w:val="02010600040101010101"/>
    <w:charset w:val="86"/>
    <w:family w:val="auto"/>
    <w:pitch w:val="default"/>
    <w:sig w:usb0="00000287" w:usb1="080F0000" w:usb2="00000000" w:usb3="00000000" w:csb0="0004009F" w:csb1="DFD70000"/>
  </w:font>
  <w:font w:name="方正小标宋_GBK">
    <w:altName w:val="微软雅黑"/>
    <w:panose1 w:val="00000000000000000000"/>
    <w:charset w:val="86"/>
    <w:family w:val="auto"/>
    <w:pitch w:val="default"/>
    <w:sig w:usb0="00000000" w:usb1="00000000" w:usb2="00082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CambriaMath">
    <w:altName w:val="Yu Gothic"/>
    <w:panose1 w:val="00000000000000000000"/>
    <w:charset w:val="80"/>
    <w:family w:val="auto"/>
    <w:pitch w:val="default"/>
    <w:sig w:usb0="00000000" w:usb1="00000000" w:usb2="00000000" w:usb3="00000000" w:csb0="00020000" w:csb1="00000000"/>
  </w:font>
  <w:font w:name="方正小标宋简体">
    <w:altName w:val="黑体"/>
    <w:panose1 w:val="00000000000000000000"/>
    <w:charset w:val="86"/>
    <w:family w:val="auto"/>
    <w:pitch w:val="default"/>
    <w:sig w:usb0="00000000" w:usb1="00000000" w:usb2="00000000" w:usb3="00000000" w:csb0="00040000" w:csb1="00000000"/>
  </w:font>
  <w:font w:name="TimesNewRomanPSMT">
    <w:altName w:val="Times New Roman"/>
    <w:panose1 w:val="00000000000000000000"/>
    <w:charset w:val="86"/>
    <w:family w:val="auto"/>
    <w:pitch w:val="default"/>
    <w:sig w:usb0="00000000" w:usb1="00000000" w:usb2="00000000" w:usb3="00000000" w:csb0="00040000" w:csb1="00000000"/>
  </w:font>
  <w:font w:name="Yu Mincho">
    <w:altName w:val="Yu Gothic"/>
    <w:panose1 w:val="00000000000000000000"/>
    <w:charset w:val="80"/>
    <w:family w:val="roman"/>
    <w:pitch w:val="default"/>
    <w:sig w:usb0="00000000" w:usb1="00000000" w:usb2="00000012" w:usb3="00000000" w:csb0="0002009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 w:name="MT Extra">
    <w:panose1 w:val="05050102010205020202"/>
    <w:charset w:val="00"/>
    <w:family w:val="auto"/>
    <w:pitch w:val="default"/>
    <w:sig w:usb0="80000000" w:usb1="00000000" w:usb2="00000000" w:usb3="00000000" w:csb0="00000000" w:csb1="00000000"/>
  </w:font>
  <w:font w:name="PMingLiU-ExtB">
    <w:panose1 w:val="02020500000000000000"/>
    <w:charset w:val="88"/>
    <w:family w:val="auto"/>
    <w:pitch w:val="default"/>
    <w:sig w:usb0="8000002F" w:usb1="02000008" w:usb2="00000000" w:usb3="00000000" w:csb0="00100001" w:csb1="00000000"/>
  </w:font>
  <w:font w:name="Malgun Gothic">
    <w:panose1 w:val="020B0503020000020004"/>
    <w:charset w:val="81"/>
    <w:family w:val="auto"/>
    <w:pitch w:val="default"/>
    <w:sig w:usb0="9000002F" w:usb1="29D77CFB" w:usb2="00000012" w:usb3="00000000" w:csb0="00080001" w:csb1="00000000"/>
  </w:font>
  <w:font w:name="Yu Gothic">
    <w:panose1 w:val="020B04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outside" w:y="1"/>
      <w:rPr>
        <w:rStyle w:val="40"/>
      </w:rPr>
    </w:pPr>
    <w:r>
      <w:rPr>
        <w:rStyle w:val="40"/>
      </w:rPr>
      <w:fldChar w:fldCharType="begin"/>
    </w:r>
    <w:r>
      <w:rPr>
        <w:rStyle w:val="40"/>
      </w:rPr>
      <w:instrText xml:space="preserve">PAGE  </w:instrText>
    </w:r>
    <w:r>
      <w:rPr>
        <w:rStyle w:val="40"/>
      </w:rPr>
      <w:fldChar w:fldCharType="separate"/>
    </w:r>
    <w:r>
      <w:rPr>
        <w:rStyle w:val="40"/>
      </w:rPr>
      <w:t>1</w:t>
    </w:r>
    <w:r>
      <w:rPr>
        <w:rStyle w:val="40"/>
      </w:rPr>
      <w:fldChar w:fldCharType="end"/>
    </w:r>
  </w:p>
  <w:p>
    <w:pPr>
      <w:pStyle w:val="2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outside" w:y="1"/>
      <w:rPr>
        <w:rStyle w:val="40"/>
        <w:rFonts w:ascii="宋体" w:hAnsi="宋体"/>
        <w:sz w:val="28"/>
        <w:szCs w:val="28"/>
      </w:rPr>
    </w:pPr>
    <w:r>
      <w:rPr>
        <w:rStyle w:val="40"/>
        <w:rFonts w:hint="eastAsia" w:ascii="宋体" w:hAnsi="宋体"/>
        <w:sz w:val="28"/>
        <w:szCs w:val="28"/>
      </w:rPr>
      <w:t>—</w:t>
    </w:r>
    <w:r>
      <w:rPr>
        <w:rStyle w:val="40"/>
        <w:rFonts w:hint="eastAsia" w:ascii="宋体" w:hAnsi="宋体"/>
        <w:sz w:val="20"/>
        <w:szCs w:val="20"/>
      </w:rPr>
      <w:t xml:space="preserve">  </w:t>
    </w:r>
    <w:r>
      <w:rPr>
        <w:rStyle w:val="40"/>
        <w:rFonts w:ascii="宋体" w:hAnsi="宋体"/>
        <w:sz w:val="26"/>
        <w:szCs w:val="26"/>
      </w:rPr>
      <w:fldChar w:fldCharType="begin"/>
    </w:r>
    <w:r>
      <w:rPr>
        <w:rStyle w:val="40"/>
        <w:rFonts w:ascii="宋体" w:hAnsi="宋体"/>
        <w:sz w:val="26"/>
        <w:szCs w:val="26"/>
      </w:rPr>
      <w:instrText xml:space="preserve">PAGE  </w:instrText>
    </w:r>
    <w:r>
      <w:rPr>
        <w:rStyle w:val="40"/>
        <w:rFonts w:ascii="宋体" w:hAnsi="宋体"/>
        <w:sz w:val="26"/>
        <w:szCs w:val="26"/>
      </w:rPr>
      <w:fldChar w:fldCharType="separate"/>
    </w:r>
    <w:r>
      <w:rPr>
        <w:rStyle w:val="40"/>
        <w:rFonts w:ascii="宋体" w:hAnsi="宋体"/>
        <w:sz w:val="26"/>
        <w:szCs w:val="26"/>
      </w:rPr>
      <w:t>49</w:t>
    </w:r>
    <w:r>
      <w:rPr>
        <w:rStyle w:val="40"/>
        <w:rFonts w:ascii="宋体" w:hAnsi="宋体"/>
        <w:sz w:val="26"/>
        <w:szCs w:val="26"/>
      </w:rPr>
      <w:fldChar w:fldCharType="end"/>
    </w:r>
    <w:r>
      <w:rPr>
        <w:rStyle w:val="40"/>
        <w:rFonts w:hint="eastAsia" w:ascii="宋体" w:hAnsi="宋体"/>
        <w:sz w:val="20"/>
        <w:szCs w:val="20"/>
      </w:rPr>
      <w:t xml:space="preserve">  </w:t>
    </w:r>
    <w:r>
      <w:rPr>
        <w:rStyle w:val="40"/>
        <w:rFonts w:hint="eastAsia" w:ascii="宋体" w:hAnsi="宋体"/>
        <w:sz w:val="28"/>
        <w:szCs w:val="28"/>
      </w:rPr>
      <w:t>—</w:t>
    </w:r>
  </w:p>
  <w:p>
    <w:pPr>
      <w:pStyle w:val="21"/>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outside" w:y="1"/>
      <w:rPr>
        <w:rStyle w:val="40"/>
        <w:rFonts w:ascii="宋体" w:hAnsi="宋体"/>
        <w:sz w:val="28"/>
        <w:szCs w:val="28"/>
      </w:rPr>
    </w:pPr>
    <w:r>
      <w:rPr>
        <w:rStyle w:val="40"/>
        <w:rFonts w:hint="eastAsia" w:ascii="宋体" w:hAnsi="宋体"/>
        <w:sz w:val="28"/>
        <w:szCs w:val="28"/>
      </w:rPr>
      <w:t>—</w:t>
    </w:r>
    <w:r>
      <w:rPr>
        <w:rStyle w:val="40"/>
        <w:rFonts w:hint="eastAsia" w:ascii="宋体" w:hAnsi="宋体"/>
        <w:sz w:val="20"/>
        <w:szCs w:val="20"/>
      </w:rPr>
      <w:t xml:space="preserve">  </w:t>
    </w:r>
    <w:r>
      <w:rPr>
        <w:rStyle w:val="40"/>
        <w:rFonts w:ascii="宋体" w:hAnsi="宋体"/>
        <w:sz w:val="26"/>
        <w:szCs w:val="26"/>
      </w:rPr>
      <w:fldChar w:fldCharType="begin"/>
    </w:r>
    <w:r>
      <w:rPr>
        <w:rStyle w:val="40"/>
        <w:rFonts w:ascii="宋体" w:hAnsi="宋体"/>
        <w:sz w:val="26"/>
        <w:szCs w:val="26"/>
      </w:rPr>
      <w:instrText xml:space="preserve">PAGE  </w:instrText>
    </w:r>
    <w:r>
      <w:rPr>
        <w:rStyle w:val="40"/>
        <w:rFonts w:ascii="宋体" w:hAnsi="宋体"/>
        <w:sz w:val="26"/>
        <w:szCs w:val="26"/>
      </w:rPr>
      <w:fldChar w:fldCharType="separate"/>
    </w:r>
    <w:r>
      <w:rPr>
        <w:rStyle w:val="40"/>
        <w:rFonts w:ascii="宋体" w:hAnsi="宋体"/>
        <w:sz w:val="26"/>
        <w:szCs w:val="26"/>
      </w:rPr>
      <w:t>62</w:t>
    </w:r>
    <w:r>
      <w:rPr>
        <w:rStyle w:val="40"/>
        <w:rFonts w:ascii="宋体" w:hAnsi="宋体"/>
        <w:sz w:val="26"/>
        <w:szCs w:val="26"/>
      </w:rPr>
      <w:fldChar w:fldCharType="end"/>
    </w:r>
    <w:r>
      <w:rPr>
        <w:rStyle w:val="40"/>
        <w:rFonts w:hint="eastAsia" w:ascii="宋体" w:hAnsi="宋体"/>
        <w:sz w:val="20"/>
        <w:szCs w:val="20"/>
      </w:rPr>
      <w:t xml:space="preserve">  </w:t>
    </w:r>
    <w:r>
      <w:rPr>
        <w:rStyle w:val="40"/>
        <w:rFonts w:hint="eastAsia" w:ascii="宋体" w:hAnsi="宋体"/>
        <w:sz w:val="28"/>
        <w:szCs w:val="28"/>
      </w:rPr>
      <w:t>—</w:t>
    </w:r>
  </w:p>
  <w:p>
    <w:pPr>
      <w:pStyle w:val="21"/>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E13178"/>
    <w:multiLevelType w:val="multilevel"/>
    <w:tmpl w:val="81E13178"/>
    <w:lvl w:ilvl="0" w:tentative="0">
      <w:start w:val="1"/>
      <w:numFmt w:val="decimal"/>
      <w:lvlText w:val="表4-%1"/>
      <w:lvlJc w:val="left"/>
      <w:pPr>
        <w:ind w:left="840" w:hanging="420"/>
      </w:pPr>
      <w:rPr>
        <w:rFonts w:hint="default" w:ascii="Times New Roman" w:hAnsi="Times New Roman" w:eastAsia="宋体" w:cs="Times New Roman"/>
        <w:b/>
        <w:i w:val="0"/>
        <w:sz w:val="21"/>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
    <w:nsid w:val="8CFE08DA"/>
    <w:multiLevelType w:val="singleLevel"/>
    <w:tmpl w:val="8CFE08DA"/>
    <w:lvl w:ilvl="0" w:tentative="0">
      <w:start w:val="2"/>
      <w:numFmt w:val="decimal"/>
      <w:suff w:val="nothing"/>
      <w:lvlText w:val="（%1）"/>
      <w:lvlJc w:val="left"/>
    </w:lvl>
  </w:abstractNum>
  <w:abstractNum w:abstractNumId="2">
    <w:nsid w:val="D591B113"/>
    <w:multiLevelType w:val="singleLevel"/>
    <w:tmpl w:val="D591B113"/>
    <w:lvl w:ilvl="0" w:tentative="0">
      <w:start w:val="6"/>
      <w:numFmt w:val="chineseCounting"/>
      <w:suff w:val="nothing"/>
      <w:lvlText w:val="%1、"/>
      <w:lvlJc w:val="left"/>
      <w:rPr>
        <w:rFonts w:hint="eastAsia"/>
      </w:rPr>
    </w:lvl>
  </w:abstractNum>
  <w:abstractNum w:abstractNumId="3">
    <w:nsid w:val="E18DCD88"/>
    <w:multiLevelType w:val="singleLevel"/>
    <w:tmpl w:val="E18DCD88"/>
    <w:lvl w:ilvl="0" w:tentative="0">
      <w:start w:val="1"/>
      <w:numFmt w:val="decimal"/>
      <w:suff w:val="nothing"/>
      <w:lvlText w:val="图3-%1"/>
      <w:lvlJc w:val="left"/>
      <w:pPr>
        <w:ind w:left="0" w:firstLine="403"/>
      </w:pPr>
      <w:rPr>
        <w:rFonts w:hint="default"/>
      </w:rPr>
    </w:lvl>
  </w:abstractNum>
  <w:abstractNum w:abstractNumId="4">
    <w:nsid w:val="EDDED61B"/>
    <w:multiLevelType w:val="singleLevel"/>
    <w:tmpl w:val="EDDED61B"/>
    <w:lvl w:ilvl="0" w:tentative="0">
      <w:start w:val="1"/>
      <w:numFmt w:val="bullet"/>
      <w:pStyle w:val="17"/>
      <w:lvlText w:val=""/>
      <w:lvlJc w:val="left"/>
      <w:pPr>
        <w:tabs>
          <w:tab w:val="left" w:pos="2040"/>
        </w:tabs>
        <w:ind w:left="2040" w:hanging="360"/>
      </w:pPr>
      <w:rPr>
        <w:rFonts w:hint="default" w:ascii="Wingdings" w:hAnsi="Wingdings"/>
      </w:rPr>
    </w:lvl>
  </w:abstractNum>
  <w:abstractNum w:abstractNumId="5">
    <w:nsid w:val="12BF4C47"/>
    <w:multiLevelType w:val="multilevel"/>
    <w:tmpl w:val="12BF4C47"/>
    <w:lvl w:ilvl="0" w:tentative="0">
      <w:start w:val="1"/>
      <w:numFmt w:val="decimal"/>
      <w:lvlText w:val="表3-%1"/>
      <w:lvlJc w:val="left"/>
      <w:pPr>
        <w:ind w:left="420" w:hanging="420"/>
      </w:pPr>
      <w:rPr>
        <w:rFonts w:hint="default" w:ascii="Times New Roman" w:hAnsi="Times New Roman" w:eastAsia="宋体" w:cs="Times New Roman"/>
        <w:sz w:val="21"/>
        <w:szCs w:val="21"/>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6">
    <w:nsid w:val="1471DDF2"/>
    <w:multiLevelType w:val="singleLevel"/>
    <w:tmpl w:val="1471DDF2"/>
    <w:lvl w:ilvl="0" w:tentative="0">
      <w:start w:val="1"/>
      <w:numFmt w:val="decimal"/>
      <w:suff w:val="nothing"/>
      <w:lvlText w:val="%1）"/>
      <w:lvlJc w:val="left"/>
    </w:lvl>
  </w:abstractNum>
  <w:abstractNum w:abstractNumId="7">
    <w:nsid w:val="23CF0688"/>
    <w:multiLevelType w:val="multilevel"/>
    <w:tmpl w:val="23CF0688"/>
    <w:lvl w:ilvl="0" w:tentative="0">
      <w:start w:val="1"/>
      <w:numFmt w:val="decimal"/>
      <w:pStyle w:val="91"/>
      <w:lvlText w:val="图2-%1"/>
      <w:lvlJc w:val="center"/>
      <w:pPr>
        <w:ind w:left="840" w:hanging="420"/>
      </w:pPr>
      <w:rPr>
        <w:rFonts w:hint="default" w:ascii="Times New Roman" w:hAnsi="Times New Roman" w:eastAsia="宋体"/>
        <w:b/>
        <w:i w:val="0"/>
        <w:sz w:val="21"/>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491F601F"/>
    <w:multiLevelType w:val="multilevel"/>
    <w:tmpl w:val="491F601F"/>
    <w:lvl w:ilvl="0" w:tentative="0">
      <w:start w:val="1"/>
      <w:numFmt w:val="decimal"/>
      <w:lvlText w:val="图1-%1"/>
      <w:lvlJc w:val="left"/>
      <w:pPr>
        <w:ind w:left="420" w:hanging="420"/>
      </w:pPr>
      <w:rPr>
        <w:rFonts w:hint="eastAsia"/>
        <w:b/>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58D125EC"/>
    <w:multiLevelType w:val="multilevel"/>
    <w:tmpl w:val="58D125EC"/>
    <w:lvl w:ilvl="0" w:tentative="0">
      <w:start w:val="1"/>
      <w:numFmt w:val="decimal"/>
      <w:pStyle w:val="94"/>
      <w:lvlText w:val="%1)"/>
      <w:lvlJc w:val="left"/>
      <w:pPr>
        <w:ind w:left="420" w:hanging="420"/>
      </w:pPr>
      <w:rPr>
        <w:b w:val="0"/>
        <w:bCs w:val="0"/>
        <w:color w:val="000000" w:themeColor="text1"/>
        <w14:textFill>
          <w14:solidFill>
            <w14:schemeClr w14:val="tx1"/>
          </w14:solidFill>
        </w14:textFil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66BD1FFC"/>
    <w:multiLevelType w:val="multilevel"/>
    <w:tmpl w:val="66BD1FFC"/>
    <w:lvl w:ilvl="0" w:tentative="0">
      <w:start w:val="1"/>
      <w:numFmt w:val="decimal"/>
      <w:lvlText w:val="表1-%1"/>
      <w:lvlJc w:val="center"/>
      <w:pPr>
        <w:ind w:left="420" w:hanging="132"/>
      </w:pPr>
      <w:rPr>
        <w:rFonts w:hint="default" w:ascii="Times New Roman" w:hAnsi="Times New Roman" w:eastAsia="宋体"/>
        <w:b/>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6E1D1C72"/>
    <w:multiLevelType w:val="multilevel"/>
    <w:tmpl w:val="6E1D1C72"/>
    <w:lvl w:ilvl="0" w:tentative="0">
      <w:start w:val="1"/>
      <w:numFmt w:val="decimal"/>
      <w:lvlText w:val="表2-%1"/>
      <w:lvlJc w:val="center"/>
      <w:pPr>
        <w:ind w:left="1342" w:hanging="440"/>
      </w:pPr>
      <w:rPr>
        <w:rFonts w:hint="eastAsia"/>
        <w:b/>
        <w:i w:val="0"/>
        <w:sz w:val="21"/>
        <w:lang w:val="en-US"/>
      </w:rPr>
    </w:lvl>
    <w:lvl w:ilvl="1" w:tentative="0">
      <w:start w:val="1"/>
      <w:numFmt w:val="lowerLetter"/>
      <w:lvlText w:val="%2)"/>
      <w:lvlJc w:val="left"/>
      <w:pPr>
        <w:ind w:left="1782" w:hanging="440"/>
      </w:pPr>
    </w:lvl>
    <w:lvl w:ilvl="2" w:tentative="0">
      <w:start w:val="1"/>
      <w:numFmt w:val="lowerRoman"/>
      <w:lvlText w:val="%3."/>
      <w:lvlJc w:val="right"/>
      <w:pPr>
        <w:ind w:left="2222" w:hanging="440"/>
      </w:pPr>
    </w:lvl>
    <w:lvl w:ilvl="3" w:tentative="0">
      <w:start w:val="1"/>
      <w:numFmt w:val="decimal"/>
      <w:lvlText w:val="%4."/>
      <w:lvlJc w:val="left"/>
      <w:pPr>
        <w:ind w:left="2662" w:hanging="440"/>
      </w:pPr>
    </w:lvl>
    <w:lvl w:ilvl="4" w:tentative="0">
      <w:start w:val="1"/>
      <w:numFmt w:val="lowerLetter"/>
      <w:lvlText w:val="%5)"/>
      <w:lvlJc w:val="left"/>
      <w:pPr>
        <w:ind w:left="3102" w:hanging="440"/>
      </w:pPr>
    </w:lvl>
    <w:lvl w:ilvl="5" w:tentative="0">
      <w:start w:val="1"/>
      <w:numFmt w:val="lowerRoman"/>
      <w:lvlText w:val="%6."/>
      <w:lvlJc w:val="right"/>
      <w:pPr>
        <w:ind w:left="3542" w:hanging="440"/>
      </w:pPr>
    </w:lvl>
    <w:lvl w:ilvl="6" w:tentative="0">
      <w:start w:val="1"/>
      <w:numFmt w:val="decimal"/>
      <w:lvlText w:val="%7."/>
      <w:lvlJc w:val="left"/>
      <w:pPr>
        <w:ind w:left="3982" w:hanging="440"/>
      </w:pPr>
    </w:lvl>
    <w:lvl w:ilvl="7" w:tentative="0">
      <w:start w:val="1"/>
      <w:numFmt w:val="lowerLetter"/>
      <w:lvlText w:val="%8)"/>
      <w:lvlJc w:val="left"/>
      <w:pPr>
        <w:ind w:left="4422" w:hanging="440"/>
      </w:pPr>
    </w:lvl>
    <w:lvl w:ilvl="8" w:tentative="0">
      <w:start w:val="1"/>
      <w:numFmt w:val="lowerRoman"/>
      <w:lvlText w:val="%9."/>
      <w:lvlJc w:val="right"/>
      <w:pPr>
        <w:ind w:left="4862" w:hanging="440"/>
      </w:pPr>
    </w:lvl>
  </w:abstractNum>
  <w:num w:numId="1">
    <w:abstractNumId w:val="4"/>
  </w:num>
  <w:num w:numId="2">
    <w:abstractNumId w:val="7"/>
  </w:num>
  <w:num w:numId="3">
    <w:abstractNumId w:val="9"/>
  </w:num>
  <w:num w:numId="4">
    <w:abstractNumId w:val="8"/>
  </w:num>
  <w:num w:numId="5">
    <w:abstractNumId w:val="10"/>
  </w:num>
  <w:num w:numId="6">
    <w:abstractNumId w:val="11"/>
  </w:num>
  <w:num w:numId="7">
    <w:abstractNumId w:val="2"/>
  </w:num>
  <w:num w:numId="8">
    <w:abstractNumId w:val="5"/>
  </w:num>
  <w:num w:numId="9">
    <w:abstractNumId w:val="3"/>
  </w:num>
  <w:num w:numId="10">
    <w:abstractNumId w:val="0"/>
  </w:num>
  <w:num w:numId="11">
    <w:abstractNumId w:val="6"/>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Y4YTM4ZjBlN2MyMDhmYmI4NzA1YTI5MzM5ZTBiNjMifQ=="/>
  </w:docVars>
  <w:rsids>
    <w:rsidRoot w:val="00172A27"/>
    <w:rsid w:val="00001CED"/>
    <w:rsid w:val="00001E67"/>
    <w:rsid w:val="000020F1"/>
    <w:rsid w:val="00003CD8"/>
    <w:rsid w:val="00007E7A"/>
    <w:rsid w:val="00011680"/>
    <w:rsid w:val="0001258C"/>
    <w:rsid w:val="00012703"/>
    <w:rsid w:val="00014965"/>
    <w:rsid w:val="0001523A"/>
    <w:rsid w:val="00015ACF"/>
    <w:rsid w:val="0001678B"/>
    <w:rsid w:val="000168DC"/>
    <w:rsid w:val="00016ECB"/>
    <w:rsid w:val="00020C86"/>
    <w:rsid w:val="00022A95"/>
    <w:rsid w:val="00023EBA"/>
    <w:rsid w:val="00024BCD"/>
    <w:rsid w:val="00026275"/>
    <w:rsid w:val="000269F6"/>
    <w:rsid w:val="0003005C"/>
    <w:rsid w:val="000300DA"/>
    <w:rsid w:val="000306D5"/>
    <w:rsid w:val="00031939"/>
    <w:rsid w:val="00031C84"/>
    <w:rsid w:val="00032D25"/>
    <w:rsid w:val="000347CC"/>
    <w:rsid w:val="0003507E"/>
    <w:rsid w:val="00036633"/>
    <w:rsid w:val="000407DB"/>
    <w:rsid w:val="00041FA3"/>
    <w:rsid w:val="00046A09"/>
    <w:rsid w:val="0005219D"/>
    <w:rsid w:val="00052ACB"/>
    <w:rsid w:val="00053C69"/>
    <w:rsid w:val="000541E4"/>
    <w:rsid w:val="0005568F"/>
    <w:rsid w:val="0005680B"/>
    <w:rsid w:val="00056F66"/>
    <w:rsid w:val="00060158"/>
    <w:rsid w:val="0006153D"/>
    <w:rsid w:val="00061B1F"/>
    <w:rsid w:val="0006371D"/>
    <w:rsid w:val="000664DB"/>
    <w:rsid w:val="000677BD"/>
    <w:rsid w:val="00067C99"/>
    <w:rsid w:val="0007127D"/>
    <w:rsid w:val="00071380"/>
    <w:rsid w:val="00071AE5"/>
    <w:rsid w:val="00072EB0"/>
    <w:rsid w:val="00074783"/>
    <w:rsid w:val="000801E0"/>
    <w:rsid w:val="0008194C"/>
    <w:rsid w:val="00082858"/>
    <w:rsid w:val="00082A29"/>
    <w:rsid w:val="0008331D"/>
    <w:rsid w:val="00083C18"/>
    <w:rsid w:val="00092899"/>
    <w:rsid w:val="00092EBF"/>
    <w:rsid w:val="0009368B"/>
    <w:rsid w:val="0009471D"/>
    <w:rsid w:val="000952F3"/>
    <w:rsid w:val="000954EE"/>
    <w:rsid w:val="000956C9"/>
    <w:rsid w:val="00096C77"/>
    <w:rsid w:val="000A02CC"/>
    <w:rsid w:val="000A178E"/>
    <w:rsid w:val="000A2083"/>
    <w:rsid w:val="000A22D8"/>
    <w:rsid w:val="000A2B9C"/>
    <w:rsid w:val="000A34F2"/>
    <w:rsid w:val="000A5038"/>
    <w:rsid w:val="000A557E"/>
    <w:rsid w:val="000A5FB5"/>
    <w:rsid w:val="000B058F"/>
    <w:rsid w:val="000B159C"/>
    <w:rsid w:val="000B2345"/>
    <w:rsid w:val="000B4751"/>
    <w:rsid w:val="000B53E3"/>
    <w:rsid w:val="000B53EB"/>
    <w:rsid w:val="000B693F"/>
    <w:rsid w:val="000B6C08"/>
    <w:rsid w:val="000C09AC"/>
    <w:rsid w:val="000C0A63"/>
    <w:rsid w:val="000C0D50"/>
    <w:rsid w:val="000C437E"/>
    <w:rsid w:val="000C47FC"/>
    <w:rsid w:val="000C69C3"/>
    <w:rsid w:val="000C7445"/>
    <w:rsid w:val="000D1462"/>
    <w:rsid w:val="000D49A4"/>
    <w:rsid w:val="000D5D35"/>
    <w:rsid w:val="000D6866"/>
    <w:rsid w:val="000E1014"/>
    <w:rsid w:val="000E18CE"/>
    <w:rsid w:val="000E332E"/>
    <w:rsid w:val="000E375C"/>
    <w:rsid w:val="000E5F16"/>
    <w:rsid w:val="000E7D8B"/>
    <w:rsid w:val="000F0721"/>
    <w:rsid w:val="000F198E"/>
    <w:rsid w:val="000F2702"/>
    <w:rsid w:val="000F2AB8"/>
    <w:rsid w:val="000F4136"/>
    <w:rsid w:val="000F4452"/>
    <w:rsid w:val="000F4ABA"/>
    <w:rsid w:val="000F5609"/>
    <w:rsid w:val="000F6B90"/>
    <w:rsid w:val="000F6DA1"/>
    <w:rsid w:val="000F701B"/>
    <w:rsid w:val="001006DD"/>
    <w:rsid w:val="001030B6"/>
    <w:rsid w:val="001056A0"/>
    <w:rsid w:val="00110822"/>
    <w:rsid w:val="00115005"/>
    <w:rsid w:val="00115190"/>
    <w:rsid w:val="00115279"/>
    <w:rsid w:val="00117459"/>
    <w:rsid w:val="0011749A"/>
    <w:rsid w:val="00117F7A"/>
    <w:rsid w:val="00120E26"/>
    <w:rsid w:val="001219AC"/>
    <w:rsid w:val="00122935"/>
    <w:rsid w:val="00126D12"/>
    <w:rsid w:val="00126DB1"/>
    <w:rsid w:val="00127A68"/>
    <w:rsid w:val="00127EDD"/>
    <w:rsid w:val="00130274"/>
    <w:rsid w:val="00130635"/>
    <w:rsid w:val="001309C1"/>
    <w:rsid w:val="0013616D"/>
    <w:rsid w:val="0013707E"/>
    <w:rsid w:val="00137998"/>
    <w:rsid w:val="00137CBB"/>
    <w:rsid w:val="00140B13"/>
    <w:rsid w:val="00141056"/>
    <w:rsid w:val="00141B68"/>
    <w:rsid w:val="0014239F"/>
    <w:rsid w:val="00146658"/>
    <w:rsid w:val="001466DA"/>
    <w:rsid w:val="00150139"/>
    <w:rsid w:val="00154DE1"/>
    <w:rsid w:val="00155B40"/>
    <w:rsid w:val="00157069"/>
    <w:rsid w:val="00157435"/>
    <w:rsid w:val="00160496"/>
    <w:rsid w:val="00161910"/>
    <w:rsid w:val="00163B3F"/>
    <w:rsid w:val="00163EEA"/>
    <w:rsid w:val="00164830"/>
    <w:rsid w:val="00167A07"/>
    <w:rsid w:val="0017046A"/>
    <w:rsid w:val="001704A3"/>
    <w:rsid w:val="001704EE"/>
    <w:rsid w:val="00171B74"/>
    <w:rsid w:val="00172A27"/>
    <w:rsid w:val="001745AF"/>
    <w:rsid w:val="0017504D"/>
    <w:rsid w:val="00175BE0"/>
    <w:rsid w:val="00177422"/>
    <w:rsid w:val="001807A0"/>
    <w:rsid w:val="00184F10"/>
    <w:rsid w:val="00185546"/>
    <w:rsid w:val="00186D3C"/>
    <w:rsid w:val="0019146B"/>
    <w:rsid w:val="0019186F"/>
    <w:rsid w:val="00191BFC"/>
    <w:rsid w:val="00192A14"/>
    <w:rsid w:val="00192FD4"/>
    <w:rsid w:val="00193062"/>
    <w:rsid w:val="001940BD"/>
    <w:rsid w:val="00194398"/>
    <w:rsid w:val="0019568F"/>
    <w:rsid w:val="001A0D52"/>
    <w:rsid w:val="001A11B7"/>
    <w:rsid w:val="001A12EA"/>
    <w:rsid w:val="001A2005"/>
    <w:rsid w:val="001A33E4"/>
    <w:rsid w:val="001A393F"/>
    <w:rsid w:val="001A7D2A"/>
    <w:rsid w:val="001B0E6D"/>
    <w:rsid w:val="001B3517"/>
    <w:rsid w:val="001B574C"/>
    <w:rsid w:val="001C0942"/>
    <w:rsid w:val="001C0AF9"/>
    <w:rsid w:val="001C10C1"/>
    <w:rsid w:val="001C113F"/>
    <w:rsid w:val="001C155A"/>
    <w:rsid w:val="001C3003"/>
    <w:rsid w:val="001C338A"/>
    <w:rsid w:val="001C37B6"/>
    <w:rsid w:val="001C37CA"/>
    <w:rsid w:val="001C3BCE"/>
    <w:rsid w:val="001C4185"/>
    <w:rsid w:val="001C48C0"/>
    <w:rsid w:val="001C617B"/>
    <w:rsid w:val="001D0D1A"/>
    <w:rsid w:val="001D151E"/>
    <w:rsid w:val="001D35C1"/>
    <w:rsid w:val="001D4030"/>
    <w:rsid w:val="001D6726"/>
    <w:rsid w:val="001E531B"/>
    <w:rsid w:val="001F1A0B"/>
    <w:rsid w:val="001F3347"/>
    <w:rsid w:val="001F33E1"/>
    <w:rsid w:val="001F36ED"/>
    <w:rsid w:val="001F4440"/>
    <w:rsid w:val="001F64C5"/>
    <w:rsid w:val="001F69E4"/>
    <w:rsid w:val="00201199"/>
    <w:rsid w:val="00204778"/>
    <w:rsid w:val="00206469"/>
    <w:rsid w:val="00206A65"/>
    <w:rsid w:val="00207930"/>
    <w:rsid w:val="00210292"/>
    <w:rsid w:val="00210B06"/>
    <w:rsid w:val="00212343"/>
    <w:rsid w:val="00212D31"/>
    <w:rsid w:val="002130C7"/>
    <w:rsid w:val="00214B36"/>
    <w:rsid w:val="00216CAF"/>
    <w:rsid w:val="002174CA"/>
    <w:rsid w:val="00221340"/>
    <w:rsid w:val="002213F3"/>
    <w:rsid w:val="002218A8"/>
    <w:rsid w:val="0022306D"/>
    <w:rsid w:val="002242F2"/>
    <w:rsid w:val="00226574"/>
    <w:rsid w:val="002278EC"/>
    <w:rsid w:val="002300AF"/>
    <w:rsid w:val="002307C7"/>
    <w:rsid w:val="00233438"/>
    <w:rsid w:val="002351B4"/>
    <w:rsid w:val="002354EE"/>
    <w:rsid w:val="002357C7"/>
    <w:rsid w:val="00235DA9"/>
    <w:rsid w:val="002367C4"/>
    <w:rsid w:val="00236AFD"/>
    <w:rsid w:val="00240038"/>
    <w:rsid w:val="00240072"/>
    <w:rsid w:val="00240175"/>
    <w:rsid w:val="00240DFC"/>
    <w:rsid w:val="002415F0"/>
    <w:rsid w:val="00241813"/>
    <w:rsid w:val="00241CC3"/>
    <w:rsid w:val="002428DE"/>
    <w:rsid w:val="00243D7F"/>
    <w:rsid w:val="00244B36"/>
    <w:rsid w:val="0024653A"/>
    <w:rsid w:val="0024797D"/>
    <w:rsid w:val="00247A5A"/>
    <w:rsid w:val="0025176D"/>
    <w:rsid w:val="002531D1"/>
    <w:rsid w:val="00253788"/>
    <w:rsid w:val="00255030"/>
    <w:rsid w:val="00256233"/>
    <w:rsid w:val="0025679E"/>
    <w:rsid w:val="00260C68"/>
    <w:rsid w:val="00261012"/>
    <w:rsid w:val="00261502"/>
    <w:rsid w:val="002627A3"/>
    <w:rsid w:val="002648B0"/>
    <w:rsid w:val="00266BF2"/>
    <w:rsid w:val="00266D46"/>
    <w:rsid w:val="002670C9"/>
    <w:rsid w:val="00267274"/>
    <w:rsid w:val="002702B4"/>
    <w:rsid w:val="00271789"/>
    <w:rsid w:val="00274BFD"/>
    <w:rsid w:val="00275271"/>
    <w:rsid w:val="0027535E"/>
    <w:rsid w:val="00275AA6"/>
    <w:rsid w:val="002764B8"/>
    <w:rsid w:val="00276936"/>
    <w:rsid w:val="0027730F"/>
    <w:rsid w:val="00280209"/>
    <w:rsid w:val="002807D5"/>
    <w:rsid w:val="00282CCD"/>
    <w:rsid w:val="00284E51"/>
    <w:rsid w:val="002968FC"/>
    <w:rsid w:val="00296F91"/>
    <w:rsid w:val="002A035A"/>
    <w:rsid w:val="002A168C"/>
    <w:rsid w:val="002A2452"/>
    <w:rsid w:val="002A26E0"/>
    <w:rsid w:val="002A2C48"/>
    <w:rsid w:val="002A2DC8"/>
    <w:rsid w:val="002A3B80"/>
    <w:rsid w:val="002A3EED"/>
    <w:rsid w:val="002A43B6"/>
    <w:rsid w:val="002A4A39"/>
    <w:rsid w:val="002A5A17"/>
    <w:rsid w:val="002A6425"/>
    <w:rsid w:val="002A6B13"/>
    <w:rsid w:val="002A7615"/>
    <w:rsid w:val="002B0583"/>
    <w:rsid w:val="002B0A38"/>
    <w:rsid w:val="002B0F0B"/>
    <w:rsid w:val="002B24A5"/>
    <w:rsid w:val="002B34FD"/>
    <w:rsid w:val="002B3704"/>
    <w:rsid w:val="002B3846"/>
    <w:rsid w:val="002B3877"/>
    <w:rsid w:val="002B3F0C"/>
    <w:rsid w:val="002B49E2"/>
    <w:rsid w:val="002B4FA0"/>
    <w:rsid w:val="002B6E77"/>
    <w:rsid w:val="002B7B00"/>
    <w:rsid w:val="002B7C44"/>
    <w:rsid w:val="002C0BF0"/>
    <w:rsid w:val="002C1388"/>
    <w:rsid w:val="002C1649"/>
    <w:rsid w:val="002C3C6A"/>
    <w:rsid w:val="002C4C52"/>
    <w:rsid w:val="002C4FCE"/>
    <w:rsid w:val="002C60CA"/>
    <w:rsid w:val="002D05A6"/>
    <w:rsid w:val="002D18BF"/>
    <w:rsid w:val="002D3059"/>
    <w:rsid w:val="002D42DB"/>
    <w:rsid w:val="002E1F3A"/>
    <w:rsid w:val="002E298A"/>
    <w:rsid w:val="002E33D3"/>
    <w:rsid w:val="002E3709"/>
    <w:rsid w:val="002F02A4"/>
    <w:rsid w:val="002F272B"/>
    <w:rsid w:val="002F2925"/>
    <w:rsid w:val="002F2DB6"/>
    <w:rsid w:val="002F438B"/>
    <w:rsid w:val="002F5AE0"/>
    <w:rsid w:val="002F712C"/>
    <w:rsid w:val="002F7C6D"/>
    <w:rsid w:val="00300371"/>
    <w:rsid w:val="0030054B"/>
    <w:rsid w:val="00301C82"/>
    <w:rsid w:val="003027E4"/>
    <w:rsid w:val="00302CB7"/>
    <w:rsid w:val="003030D0"/>
    <w:rsid w:val="0030332C"/>
    <w:rsid w:val="00304B85"/>
    <w:rsid w:val="0030672B"/>
    <w:rsid w:val="00306E05"/>
    <w:rsid w:val="003072E3"/>
    <w:rsid w:val="00307AA1"/>
    <w:rsid w:val="00310E57"/>
    <w:rsid w:val="0031110F"/>
    <w:rsid w:val="00311870"/>
    <w:rsid w:val="00312296"/>
    <w:rsid w:val="00312E1B"/>
    <w:rsid w:val="0031340E"/>
    <w:rsid w:val="00314399"/>
    <w:rsid w:val="003147D6"/>
    <w:rsid w:val="00316464"/>
    <w:rsid w:val="00316EC5"/>
    <w:rsid w:val="0032073A"/>
    <w:rsid w:val="00321D8E"/>
    <w:rsid w:val="00323431"/>
    <w:rsid w:val="003245FC"/>
    <w:rsid w:val="00325223"/>
    <w:rsid w:val="00327D65"/>
    <w:rsid w:val="0033210C"/>
    <w:rsid w:val="003321C2"/>
    <w:rsid w:val="00334996"/>
    <w:rsid w:val="00336969"/>
    <w:rsid w:val="00336C52"/>
    <w:rsid w:val="0033701D"/>
    <w:rsid w:val="00340FD7"/>
    <w:rsid w:val="00341B3E"/>
    <w:rsid w:val="00341B42"/>
    <w:rsid w:val="00342D51"/>
    <w:rsid w:val="00344EB5"/>
    <w:rsid w:val="00345154"/>
    <w:rsid w:val="0034560E"/>
    <w:rsid w:val="00345651"/>
    <w:rsid w:val="00346171"/>
    <w:rsid w:val="003472A3"/>
    <w:rsid w:val="0034741E"/>
    <w:rsid w:val="00347B4D"/>
    <w:rsid w:val="00350523"/>
    <w:rsid w:val="0035119C"/>
    <w:rsid w:val="00352975"/>
    <w:rsid w:val="003531AE"/>
    <w:rsid w:val="00353ACC"/>
    <w:rsid w:val="003553AD"/>
    <w:rsid w:val="003562A1"/>
    <w:rsid w:val="00356868"/>
    <w:rsid w:val="00356A35"/>
    <w:rsid w:val="00356A5C"/>
    <w:rsid w:val="003618E9"/>
    <w:rsid w:val="00361953"/>
    <w:rsid w:val="00362765"/>
    <w:rsid w:val="0036485B"/>
    <w:rsid w:val="00364AD8"/>
    <w:rsid w:val="00366E01"/>
    <w:rsid w:val="00367562"/>
    <w:rsid w:val="00370046"/>
    <w:rsid w:val="0037150D"/>
    <w:rsid w:val="00371BC6"/>
    <w:rsid w:val="00373B0D"/>
    <w:rsid w:val="00375E39"/>
    <w:rsid w:val="003766F3"/>
    <w:rsid w:val="00376988"/>
    <w:rsid w:val="00380C43"/>
    <w:rsid w:val="003814DA"/>
    <w:rsid w:val="00381A72"/>
    <w:rsid w:val="00383343"/>
    <w:rsid w:val="00383A4F"/>
    <w:rsid w:val="00383E27"/>
    <w:rsid w:val="0038402F"/>
    <w:rsid w:val="0038697C"/>
    <w:rsid w:val="00386D7A"/>
    <w:rsid w:val="00386ECE"/>
    <w:rsid w:val="0038736A"/>
    <w:rsid w:val="00392F95"/>
    <w:rsid w:val="0039383E"/>
    <w:rsid w:val="0039732D"/>
    <w:rsid w:val="00397403"/>
    <w:rsid w:val="003A1948"/>
    <w:rsid w:val="003A1A5C"/>
    <w:rsid w:val="003A5195"/>
    <w:rsid w:val="003A5C0E"/>
    <w:rsid w:val="003A65EE"/>
    <w:rsid w:val="003A6EC4"/>
    <w:rsid w:val="003A7DF1"/>
    <w:rsid w:val="003B152A"/>
    <w:rsid w:val="003B41F4"/>
    <w:rsid w:val="003B545B"/>
    <w:rsid w:val="003B599F"/>
    <w:rsid w:val="003B62ED"/>
    <w:rsid w:val="003B77B6"/>
    <w:rsid w:val="003C072E"/>
    <w:rsid w:val="003C50B0"/>
    <w:rsid w:val="003C7A30"/>
    <w:rsid w:val="003C7A80"/>
    <w:rsid w:val="003D066A"/>
    <w:rsid w:val="003D1BC2"/>
    <w:rsid w:val="003D24DF"/>
    <w:rsid w:val="003D25FB"/>
    <w:rsid w:val="003D2E15"/>
    <w:rsid w:val="003D3EE9"/>
    <w:rsid w:val="003D5C30"/>
    <w:rsid w:val="003E0E73"/>
    <w:rsid w:val="003E18BC"/>
    <w:rsid w:val="003E29BB"/>
    <w:rsid w:val="003E2B1A"/>
    <w:rsid w:val="003E332A"/>
    <w:rsid w:val="003E66D4"/>
    <w:rsid w:val="003E7681"/>
    <w:rsid w:val="003E7DB5"/>
    <w:rsid w:val="003F0809"/>
    <w:rsid w:val="003F0FE6"/>
    <w:rsid w:val="003F3B5A"/>
    <w:rsid w:val="003F5CF6"/>
    <w:rsid w:val="003F611C"/>
    <w:rsid w:val="003F755C"/>
    <w:rsid w:val="00404856"/>
    <w:rsid w:val="004063B8"/>
    <w:rsid w:val="00406F01"/>
    <w:rsid w:val="00410BE5"/>
    <w:rsid w:val="00411B36"/>
    <w:rsid w:val="004121D7"/>
    <w:rsid w:val="00414B3F"/>
    <w:rsid w:val="00416D50"/>
    <w:rsid w:val="004173CD"/>
    <w:rsid w:val="00417772"/>
    <w:rsid w:val="00420E6A"/>
    <w:rsid w:val="004255B9"/>
    <w:rsid w:val="00426339"/>
    <w:rsid w:val="00427A70"/>
    <w:rsid w:val="004304F4"/>
    <w:rsid w:val="0043054B"/>
    <w:rsid w:val="00430A21"/>
    <w:rsid w:val="00433CA9"/>
    <w:rsid w:val="0043521D"/>
    <w:rsid w:val="004409BD"/>
    <w:rsid w:val="004411BA"/>
    <w:rsid w:val="004418A8"/>
    <w:rsid w:val="0044201F"/>
    <w:rsid w:val="00442024"/>
    <w:rsid w:val="0044254C"/>
    <w:rsid w:val="00442A9B"/>
    <w:rsid w:val="00442DC1"/>
    <w:rsid w:val="00443F6A"/>
    <w:rsid w:val="00444B83"/>
    <w:rsid w:val="004460E2"/>
    <w:rsid w:val="004461D0"/>
    <w:rsid w:val="00446522"/>
    <w:rsid w:val="00446B82"/>
    <w:rsid w:val="00450A17"/>
    <w:rsid w:val="00450CD3"/>
    <w:rsid w:val="004517A0"/>
    <w:rsid w:val="00453554"/>
    <w:rsid w:val="00453796"/>
    <w:rsid w:val="00453E3F"/>
    <w:rsid w:val="004543B4"/>
    <w:rsid w:val="00455566"/>
    <w:rsid w:val="00465D2A"/>
    <w:rsid w:val="00466321"/>
    <w:rsid w:val="0046724A"/>
    <w:rsid w:val="004672AF"/>
    <w:rsid w:val="004701F9"/>
    <w:rsid w:val="004708D2"/>
    <w:rsid w:val="00471706"/>
    <w:rsid w:val="00471925"/>
    <w:rsid w:val="004727B0"/>
    <w:rsid w:val="004778AE"/>
    <w:rsid w:val="00477CF3"/>
    <w:rsid w:val="00480247"/>
    <w:rsid w:val="0048081D"/>
    <w:rsid w:val="0048117E"/>
    <w:rsid w:val="00481F2E"/>
    <w:rsid w:val="004822AC"/>
    <w:rsid w:val="00483678"/>
    <w:rsid w:val="00483ECA"/>
    <w:rsid w:val="00484D2B"/>
    <w:rsid w:val="0048500D"/>
    <w:rsid w:val="004855F6"/>
    <w:rsid w:val="004858D9"/>
    <w:rsid w:val="00486F0C"/>
    <w:rsid w:val="00490F17"/>
    <w:rsid w:val="0049316A"/>
    <w:rsid w:val="00494670"/>
    <w:rsid w:val="004951AB"/>
    <w:rsid w:val="00495668"/>
    <w:rsid w:val="00496412"/>
    <w:rsid w:val="004A0EB4"/>
    <w:rsid w:val="004A2CA4"/>
    <w:rsid w:val="004A3823"/>
    <w:rsid w:val="004A3FA0"/>
    <w:rsid w:val="004A533B"/>
    <w:rsid w:val="004A59BB"/>
    <w:rsid w:val="004A6831"/>
    <w:rsid w:val="004A6F24"/>
    <w:rsid w:val="004A7B78"/>
    <w:rsid w:val="004B43A3"/>
    <w:rsid w:val="004B4C49"/>
    <w:rsid w:val="004B58A5"/>
    <w:rsid w:val="004B5B04"/>
    <w:rsid w:val="004B63D9"/>
    <w:rsid w:val="004B6734"/>
    <w:rsid w:val="004B6D4C"/>
    <w:rsid w:val="004B7D83"/>
    <w:rsid w:val="004B7E16"/>
    <w:rsid w:val="004C0882"/>
    <w:rsid w:val="004C0939"/>
    <w:rsid w:val="004C09DB"/>
    <w:rsid w:val="004C185C"/>
    <w:rsid w:val="004C1A47"/>
    <w:rsid w:val="004C1AB3"/>
    <w:rsid w:val="004C32CA"/>
    <w:rsid w:val="004C3439"/>
    <w:rsid w:val="004C3B07"/>
    <w:rsid w:val="004C4C93"/>
    <w:rsid w:val="004C55BE"/>
    <w:rsid w:val="004C5D71"/>
    <w:rsid w:val="004C6C6C"/>
    <w:rsid w:val="004D01BB"/>
    <w:rsid w:val="004D03EB"/>
    <w:rsid w:val="004D1543"/>
    <w:rsid w:val="004D4C0D"/>
    <w:rsid w:val="004D557A"/>
    <w:rsid w:val="004D7DEC"/>
    <w:rsid w:val="004E45CA"/>
    <w:rsid w:val="004E48FB"/>
    <w:rsid w:val="004E4BC5"/>
    <w:rsid w:val="004E564C"/>
    <w:rsid w:val="004E5B30"/>
    <w:rsid w:val="004F0084"/>
    <w:rsid w:val="004F0779"/>
    <w:rsid w:val="004F0F58"/>
    <w:rsid w:val="004F1230"/>
    <w:rsid w:val="004F173F"/>
    <w:rsid w:val="004F177C"/>
    <w:rsid w:val="004F1DDF"/>
    <w:rsid w:val="004F2309"/>
    <w:rsid w:val="004F2DCE"/>
    <w:rsid w:val="004F380A"/>
    <w:rsid w:val="004F6D04"/>
    <w:rsid w:val="00500DD9"/>
    <w:rsid w:val="005039CB"/>
    <w:rsid w:val="0050558F"/>
    <w:rsid w:val="005057E0"/>
    <w:rsid w:val="00506286"/>
    <w:rsid w:val="0050722D"/>
    <w:rsid w:val="005077AB"/>
    <w:rsid w:val="00510813"/>
    <w:rsid w:val="005114ED"/>
    <w:rsid w:val="00511DE0"/>
    <w:rsid w:val="005121DF"/>
    <w:rsid w:val="00512B03"/>
    <w:rsid w:val="005171B0"/>
    <w:rsid w:val="00517F02"/>
    <w:rsid w:val="005205C4"/>
    <w:rsid w:val="005230D2"/>
    <w:rsid w:val="00524547"/>
    <w:rsid w:val="005258A2"/>
    <w:rsid w:val="00525BCA"/>
    <w:rsid w:val="0053011F"/>
    <w:rsid w:val="00530D5C"/>
    <w:rsid w:val="00530F7C"/>
    <w:rsid w:val="00534567"/>
    <w:rsid w:val="00534F43"/>
    <w:rsid w:val="00535A84"/>
    <w:rsid w:val="00535D46"/>
    <w:rsid w:val="00536889"/>
    <w:rsid w:val="00537032"/>
    <w:rsid w:val="00542E07"/>
    <w:rsid w:val="00543DE1"/>
    <w:rsid w:val="005444B3"/>
    <w:rsid w:val="00544D42"/>
    <w:rsid w:val="00546DD1"/>
    <w:rsid w:val="005476AB"/>
    <w:rsid w:val="00550915"/>
    <w:rsid w:val="00550CC1"/>
    <w:rsid w:val="005532C0"/>
    <w:rsid w:val="00554A7B"/>
    <w:rsid w:val="00555207"/>
    <w:rsid w:val="0055572C"/>
    <w:rsid w:val="005568F2"/>
    <w:rsid w:val="005605CB"/>
    <w:rsid w:val="0056064F"/>
    <w:rsid w:val="00561B84"/>
    <w:rsid w:val="005645B3"/>
    <w:rsid w:val="0056473D"/>
    <w:rsid w:val="00565179"/>
    <w:rsid w:val="00567512"/>
    <w:rsid w:val="00567844"/>
    <w:rsid w:val="00571D98"/>
    <w:rsid w:val="005720AE"/>
    <w:rsid w:val="00572555"/>
    <w:rsid w:val="005745C4"/>
    <w:rsid w:val="0057545A"/>
    <w:rsid w:val="00577E57"/>
    <w:rsid w:val="0058030D"/>
    <w:rsid w:val="00582045"/>
    <w:rsid w:val="00582386"/>
    <w:rsid w:val="00583957"/>
    <w:rsid w:val="00583AC9"/>
    <w:rsid w:val="00584190"/>
    <w:rsid w:val="005873A2"/>
    <w:rsid w:val="005909C3"/>
    <w:rsid w:val="00590AE3"/>
    <w:rsid w:val="00590D01"/>
    <w:rsid w:val="005918F1"/>
    <w:rsid w:val="0059212A"/>
    <w:rsid w:val="00594E6A"/>
    <w:rsid w:val="00597C07"/>
    <w:rsid w:val="005A014B"/>
    <w:rsid w:val="005A01C5"/>
    <w:rsid w:val="005A0255"/>
    <w:rsid w:val="005A06B7"/>
    <w:rsid w:val="005A0E16"/>
    <w:rsid w:val="005A1329"/>
    <w:rsid w:val="005A1759"/>
    <w:rsid w:val="005A3737"/>
    <w:rsid w:val="005A6B3E"/>
    <w:rsid w:val="005A78E5"/>
    <w:rsid w:val="005B0188"/>
    <w:rsid w:val="005B2A5C"/>
    <w:rsid w:val="005B3166"/>
    <w:rsid w:val="005B328B"/>
    <w:rsid w:val="005B4974"/>
    <w:rsid w:val="005B7C5E"/>
    <w:rsid w:val="005C0F38"/>
    <w:rsid w:val="005C5727"/>
    <w:rsid w:val="005D02AD"/>
    <w:rsid w:val="005D0369"/>
    <w:rsid w:val="005D1B96"/>
    <w:rsid w:val="005D3F11"/>
    <w:rsid w:val="005D4668"/>
    <w:rsid w:val="005D49DB"/>
    <w:rsid w:val="005D53FE"/>
    <w:rsid w:val="005D6570"/>
    <w:rsid w:val="005D6E54"/>
    <w:rsid w:val="005D7786"/>
    <w:rsid w:val="005D7A0F"/>
    <w:rsid w:val="005D7F82"/>
    <w:rsid w:val="005E0438"/>
    <w:rsid w:val="005E0F37"/>
    <w:rsid w:val="005E1791"/>
    <w:rsid w:val="005E25A4"/>
    <w:rsid w:val="005E2C30"/>
    <w:rsid w:val="005E2CE6"/>
    <w:rsid w:val="005E4C0B"/>
    <w:rsid w:val="005E6324"/>
    <w:rsid w:val="005E6B3F"/>
    <w:rsid w:val="005E6CCF"/>
    <w:rsid w:val="005E7359"/>
    <w:rsid w:val="005F1066"/>
    <w:rsid w:val="005F1134"/>
    <w:rsid w:val="005F228B"/>
    <w:rsid w:val="005F2464"/>
    <w:rsid w:val="005F24E4"/>
    <w:rsid w:val="005F29CD"/>
    <w:rsid w:val="005F2E5B"/>
    <w:rsid w:val="005F2F61"/>
    <w:rsid w:val="005F324F"/>
    <w:rsid w:val="005F3909"/>
    <w:rsid w:val="005F4DFB"/>
    <w:rsid w:val="005F6CC0"/>
    <w:rsid w:val="005F7565"/>
    <w:rsid w:val="006022A5"/>
    <w:rsid w:val="00603E5B"/>
    <w:rsid w:val="00604BC8"/>
    <w:rsid w:val="00605174"/>
    <w:rsid w:val="006068C6"/>
    <w:rsid w:val="0061219F"/>
    <w:rsid w:val="006121BC"/>
    <w:rsid w:val="00612A31"/>
    <w:rsid w:val="00612CFB"/>
    <w:rsid w:val="00614523"/>
    <w:rsid w:val="00615B4C"/>
    <w:rsid w:val="00615B5D"/>
    <w:rsid w:val="00617512"/>
    <w:rsid w:val="0062141E"/>
    <w:rsid w:val="0062146F"/>
    <w:rsid w:val="006232E5"/>
    <w:rsid w:val="006238A0"/>
    <w:rsid w:val="00623CBB"/>
    <w:rsid w:val="006252D8"/>
    <w:rsid w:val="00627631"/>
    <w:rsid w:val="006310C0"/>
    <w:rsid w:val="00631D85"/>
    <w:rsid w:val="0063320E"/>
    <w:rsid w:val="00633E25"/>
    <w:rsid w:val="006343AF"/>
    <w:rsid w:val="0063465A"/>
    <w:rsid w:val="00634936"/>
    <w:rsid w:val="00634E54"/>
    <w:rsid w:val="0063634A"/>
    <w:rsid w:val="006404AE"/>
    <w:rsid w:val="0064143B"/>
    <w:rsid w:val="00641C45"/>
    <w:rsid w:val="00641EF1"/>
    <w:rsid w:val="0064250D"/>
    <w:rsid w:val="00642E46"/>
    <w:rsid w:val="0064449F"/>
    <w:rsid w:val="00646C14"/>
    <w:rsid w:val="006514CA"/>
    <w:rsid w:val="00651CFC"/>
    <w:rsid w:val="006535EB"/>
    <w:rsid w:val="00655D73"/>
    <w:rsid w:val="006565DA"/>
    <w:rsid w:val="006575F8"/>
    <w:rsid w:val="00663016"/>
    <w:rsid w:val="00664A04"/>
    <w:rsid w:val="00664A07"/>
    <w:rsid w:val="00667197"/>
    <w:rsid w:val="00667F96"/>
    <w:rsid w:val="006701B8"/>
    <w:rsid w:val="00670288"/>
    <w:rsid w:val="00670363"/>
    <w:rsid w:val="00671C7F"/>
    <w:rsid w:val="00674605"/>
    <w:rsid w:val="006748B8"/>
    <w:rsid w:val="00675CC8"/>
    <w:rsid w:val="00676573"/>
    <w:rsid w:val="00677687"/>
    <w:rsid w:val="006776E8"/>
    <w:rsid w:val="00680439"/>
    <w:rsid w:val="006825E6"/>
    <w:rsid w:val="0068535B"/>
    <w:rsid w:val="006871EC"/>
    <w:rsid w:val="0068736E"/>
    <w:rsid w:val="00687CF9"/>
    <w:rsid w:val="0069290A"/>
    <w:rsid w:val="00692A61"/>
    <w:rsid w:val="00697032"/>
    <w:rsid w:val="006975AC"/>
    <w:rsid w:val="006A15FB"/>
    <w:rsid w:val="006A32BE"/>
    <w:rsid w:val="006A4A1B"/>
    <w:rsid w:val="006A561B"/>
    <w:rsid w:val="006A72BF"/>
    <w:rsid w:val="006B0318"/>
    <w:rsid w:val="006B332A"/>
    <w:rsid w:val="006B33BD"/>
    <w:rsid w:val="006B3439"/>
    <w:rsid w:val="006B3C22"/>
    <w:rsid w:val="006B4BF1"/>
    <w:rsid w:val="006B73D3"/>
    <w:rsid w:val="006B7A8B"/>
    <w:rsid w:val="006C069C"/>
    <w:rsid w:val="006C1B76"/>
    <w:rsid w:val="006C1F89"/>
    <w:rsid w:val="006C3F75"/>
    <w:rsid w:val="006C4429"/>
    <w:rsid w:val="006C4731"/>
    <w:rsid w:val="006C5B53"/>
    <w:rsid w:val="006C5E43"/>
    <w:rsid w:val="006C64A0"/>
    <w:rsid w:val="006C64CD"/>
    <w:rsid w:val="006D170E"/>
    <w:rsid w:val="006D2C03"/>
    <w:rsid w:val="006D3E8C"/>
    <w:rsid w:val="006D45F6"/>
    <w:rsid w:val="006D4F7C"/>
    <w:rsid w:val="006D6599"/>
    <w:rsid w:val="006E06AF"/>
    <w:rsid w:val="006E0C3C"/>
    <w:rsid w:val="006E1F33"/>
    <w:rsid w:val="006E353D"/>
    <w:rsid w:val="006E4570"/>
    <w:rsid w:val="006E634A"/>
    <w:rsid w:val="006E6A6E"/>
    <w:rsid w:val="006E711D"/>
    <w:rsid w:val="006E78D3"/>
    <w:rsid w:val="006E7D01"/>
    <w:rsid w:val="006F0412"/>
    <w:rsid w:val="006F0A03"/>
    <w:rsid w:val="006F1789"/>
    <w:rsid w:val="006F655E"/>
    <w:rsid w:val="006F7091"/>
    <w:rsid w:val="006F7794"/>
    <w:rsid w:val="006F7C06"/>
    <w:rsid w:val="0070051C"/>
    <w:rsid w:val="00701958"/>
    <w:rsid w:val="00702CDA"/>
    <w:rsid w:val="0070435D"/>
    <w:rsid w:val="00706C5D"/>
    <w:rsid w:val="007118E6"/>
    <w:rsid w:val="00711C29"/>
    <w:rsid w:val="007127F4"/>
    <w:rsid w:val="00713002"/>
    <w:rsid w:val="00713955"/>
    <w:rsid w:val="00713F99"/>
    <w:rsid w:val="0071544B"/>
    <w:rsid w:val="007176F9"/>
    <w:rsid w:val="00717C49"/>
    <w:rsid w:val="00720980"/>
    <w:rsid w:val="007225C9"/>
    <w:rsid w:val="00727103"/>
    <w:rsid w:val="00730E93"/>
    <w:rsid w:val="0073211F"/>
    <w:rsid w:val="007328FC"/>
    <w:rsid w:val="00732DA7"/>
    <w:rsid w:val="0073462D"/>
    <w:rsid w:val="00735CD7"/>
    <w:rsid w:val="00740951"/>
    <w:rsid w:val="00741695"/>
    <w:rsid w:val="00741EA8"/>
    <w:rsid w:val="00742C45"/>
    <w:rsid w:val="0074599D"/>
    <w:rsid w:val="00745CE6"/>
    <w:rsid w:val="00746594"/>
    <w:rsid w:val="00746842"/>
    <w:rsid w:val="007474F7"/>
    <w:rsid w:val="00751359"/>
    <w:rsid w:val="0075144E"/>
    <w:rsid w:val="007525D0"/>
    <w:rsid w:val="0075360B"/>
    <w:rsid w:val="00754034"/>
    <w:rsid w:val="00754335"/>
    <w:rsid w:val="00754951"/>
    <w:rsid w:val="00754BF1"/>
    <w:rsid w:val="00755A30"/>
    <w:rsid w:val="00755E1C"/>
    <w:rsid w:val="00756556"/>
    <w:rsid w:val="00757AE4"/>
    <w:rsid w:val="0076132B"/>
    <w:rsid w:val="007623AE"/>
    <w:rsid w:val="00763BCC"/>
    <w:rsid w:val="0076678C"/>
    <w:rsid w:val="00767B3F"/>
    <w:rsid w:val="00770B19"/>
    <w:rsid w:val="00770C68"/>
    <w:rsid w:val="0077382B"/>
    <w:rsid w:val="00774FA0"/>
    <w:rsid w:val="007750B9"/>
    <w:rsid w:val="00775D73"/>
    <w:rsid w:val="00776620"/>
    <w:rsid w:val="00776B35"/>
    <w:rsid w:val="007777EC"/>
    <w:rsid w:val="00777B6D"/>
    <w:rsid w:val="00781823"/>
    <w:rsid w:val="00784855"/>
    <w:rsid w:val="00784B11"/>
    <w:rsid w:val="00784F39"/>
    <w:rsid w:val="0078545C"/>
    <w:rsid w:val="007856C6"/>
    <w:rsid w:val="007863F3"/>
    <w:rsid w:val="00786687"/>
    <w:rsid w:val="007876B5"/>
    <w:rsid w:val="007878CF"/>
    <w:rsid w:val="00790375"/>
    <w:rsid w:val="007906C4"/>
    <w:rsid w:val="00793546"/>
    <w:rsid w:val="007940EA"/>
    <w:rsid w:val="00796314"/>
    <w:rsid w:val="007967E8"/>
    <w:rsid w:val="00797966"/>
    <w:rsid w:val="007A1CAC"/>
    <w:rsid w:val="007A5DF2"/>
    <w:rsid w:val="007A63F2"/>
    <w:rsid w:val="007B2865"/>
    <w:rsid w:val="007B2D30"/>
    <w:rsid w:val="007B68DE"/>
    <w:rsid w:val="007B7AE3"/>
    <w:rsid w:val="007C1857"/>
    <w:rsid w:val="007C3788"/>
    <w:rsid w:val="007C4514"/>
    <w:rsid w:val="007C4719"/>
    <w:rsid w:val="007C514F"/>
    <w:rsid w:val="007C69A1"/>
    <w:rsid w:val="007C7BD9"/>
    <w:rsid w:val="007D02D9"/>
    <w:rsid w:val="007D0F95"/>
    <w:rsid w:val="007D2D4A"/>
    <w:rsid w:val="007D4E30"/>
    <w:rsid w:val="007D4E42"/>
    <w:rsid w:val="007D762E"/>
    <w:rsid w:val="007D7A98"/>
    <w:rsid w:val="007D7D0F"/>
    <w:rsid w:val="007D7ECB"/>
    <w:rsid w:val="007E01CA"/>
    <w:rsid w:val="007E1114"/>
    <w:rsid w:val="007E17E9"/>
    <w:rsid w:val="007E1B08"/>
    <w:rsid w:val="007E25A1"/>
    <w:rsid w:val="007E3B37"/>
    <w:rsid w:val="007E3C01"/>
    <w:rsid w:val="007E48C5"/>
    <w:rsid w:val="007E4BD2"/>
    <w:rsid w:val="007E6039"/>
    <w:rsid w:val="007E7145"/>
    <w:rsid w:val="007E7B93"/>
    <w:rsid w:val="007F2788"/>
    <w:rsid w:val="007F2D9D"/>
    <w:rsid w:val="007F3916"/>
    <w:rsid w:val="007F42AA"/>
    <w:rsid w:val="007F5CBE"/>
    <w:rsid w:val="007F5ED0"/>
    <w:rsid w:val="007F5F95"/>
    <w:rsid w:val="007F6F6B"/>
    <w:rsid w:val="00801179"/>
    <w:rsid w:val="00802479"/>
    <w:rsid w:val="00804E90"/>
    <w:rsid w:val="00805372"/>
    <w:rsid w:val="0080545A"/>
    <w:rsid w:val="00805B7B"/>
    <w:rsid w:val="00810CAB"/>
    <w:rsid w:val="00811597"/>
    <w:rsid w:val="0081293E"/>
    <w:rsid w:val="00813324"/>
    <w:rsid w:val="00813504"/>
    <w:rsid w:val="00814FFB"/>
    <w:rsid w:val="00815527"/>
    <w:rsid w:val="00815B12"/>
    <w:rsid w:val="0081620B"/>
    <w:rsid w:val="008164AD"/>
    <w:rsid w:val="00817A44"/>
    <w:rsid w:val="00820568"/>
    <w:rsid w:val="008224B9"/>
    <w:rsid w:val="00822B1A"/>
    <w:rsid w:val="00822FB4"/>
    <w:rsid w:val="008232CC"/>
    <w:rsid w:val="00823B42"/>
    <w:rsid w:val="008263A4"/>
    <w:rsid w:val="00826914"/>
    <w:rsid w:val="00826BD9"/>
    <w:rsid w:val="00826D3D"/>
    <w:rsid w:val="00830189"/>
    <w:rsid w:val="0083107C"/>
    <w:rsid w:val="00831809"/>
    <w:rsid w:val="00831A80"/>
    <w:rsid w:val="008329D2"/>
    <w:rsid w:val="008332C8"/>
    <w:rsid w:val="00833743"/>
    <w:rsid w:val="00833A08"/>
    <w:rsid w:val="008340A4"/>
    <w:rsid w:val="00834310"/>
    <w:rsid w:val="00835663"/>
    <w:rsid w:val="00835899"/>
    <w:rsid w:val="00836799"/>
    <w:rsid w:val="00837028"/>
    <w:rsid w:val="00837131"/>
    <w:rsid w:val="0084126F"/>
    <w:rsid w:val="00841B7E"/>
    <w:rsid w:val="0084440E"/>
    <w:rsid w:val="00845B1B"/>
    <w:rsid w:val="00845F57"/>
    <w:rsid w:val="00847234"/>
    <w:rsid w:val="00850480"/>
    <w:rsid w:val="008511DB"/>
    <w:rsid w:val="008518F6"/>
    <w:rsid w:val="00851D9A"/>
    <w:rsid w:val="008521E0"/>
    <w:rsid w:val="008521F2"/>
    <w:rsid w:val="008525B0"/>
    <w:rsid w:val="00853E9A"/>
    <w:rsid w:val="00855462"/>
    <w:rsid w:val="0085634A"/>
    <w:rsid w:val="00856740"/>
    <w:rsid w:val="00857D02"/>
    <w:rsid w:val="00867CBC"/>
    <w:rsid w:val="00870DF1"/>
    <w:rsid w:val="00870FA1"/>
    <w:rsid w:val="00873B58"/>
    <w:rsid w:val="0087423A"/>
    <w:rsid w:val="008769E7"/>
    <w:rsid w:val="00876C30"/>
    <w:rsid w:val="00877017"/>
    <w:rsid w:val="008773C0"/>
    <w:rsid w:val="00880225"/>
    <w:rsid w:val="00880364"/>
    <w:rsid w:val="00881878"/>
    <w:rsid w:val="008819F5"/>
    <w:rsid w:val="00883A26"/>
    <w:rsid w:val="008840F3"/>
    <w:rsid w:val="008848C2"/>
    <w:rsid w:val="0088572C"/>
    <w:rsid w:val="00886C4C"/>
    <w:rsid w:val="0088711C"/>
    <w:rsid w:val="0088714E"/>
    <w:rsid w:val="008872BF"/>
    <w:rsid w:val="00891309"/>
    <w:rsid w:val="008926FF"/>
    <w:rsid w:val="00892DF4"/>
    <w:rsid w:val="00892ECF"/>
    <w:rsid w:val="00892F06"/>
    <w:rsid w:val="00894285"/>
    <w:rsid w:val="008946B8"/>
    <w:rsid w:val="00895640"/>
    <w:rsid w:val="008A07D5"/>
    <w:rsid w:val="008A1A5B"/>
    <w:rsid w:val="008A2273"/>
    <w:rsid w:val="008A3E5A"/>
    <w:rsid w:val="008A40AE"/>
    <w:rsid w:val="008A43FC"/>
    <w:rsid w:val="008A4ADA"/>
    <w:rsid w:val="008A4E19"/>
    <w:rsid w:val="008A60B1"/>
    <w:rsid w:val="008A618E"/>
    <w:rsid w:val="008A67C5"/>
    <w:rsid w:val="008A75B1"/>
    <w:rsid w:val="008B1624"/>
    <w:rsid w:val="008B22E1"/>
    <w:rsid w:val="008B3C78"/>
    <w:rsid w:val="008B482F"/>
    <w:rsid w:val="008B4AE9"/>
    <w:rsid w:val="008C0028"/>
    <w:rsid w:val="008C1CF3"/>
    <w:rsid w:val="008C30AD"/>
    <w:rsid w:val="008C338F"/>
    <w:rsid w:val="008C498D"/>
    <w:rsid w:val="008C5A7D"/>
    <w:rsid w:val="008D068E"/>
    <w:rsid w:val="008D0F7A"/>
    <w:rsid w:val="008D3818"/>
    <w:rsid w:val="008D385E"/>
    <w:rsid w:val="008D63BE"/>
    <w:rsid w:val="008D73A2"/>
    <w:rsid w:val="008D7E3A"/>
    <w:rsid w:val="008E0CFF"/>
    <w:rsid w:val="008E105B"/>
    <w:rsid w:val="008E1BDF"/>
    <w:rsid w:val="008E4CC7"/>
    <w:rsid w:val="008E5D6B"/>
    <w:rsid w:val="008E689B"/>
    <w:rsid w:val="008E76F0"/>
    <w:rsid w:val="008F00E6"/>
    <w:rsid w:val="008F15FE"/>
    <w:rsid w:val="008F2A78"/>
    <w:rsid w:val="008F2A94"/>
    <w:rsid w:val="008F2A9C"/>
    <w:rsid w:val="008F3817"/>
    <w:rsid w:val="008F5187"/>
    <w:rsid w:val="008F5731"/>
    <w:rsid w:val="008F709C"/>
    <w:rsid w:val="00902362"/>
    <w:rsid w:val="0090312B"/>
    <w:rsid w:val="00904961"/>
    <w:rsid w:val="00906003"/>
    <w:rsid w:val="0091067B"/>
    <w:rsid w:val="00910B01"/>
    <w:rsid w:val="00911DE7"/>
    <w:rsid w:val="00913525"/>
    <w:rsid w:val="009136C2"/>
    <w:rsid w:val="00915179"/>
    <w:rsid w:val="0091736D"/>
    <w:rsid w:val="009178A5"/>
    <w:rsid w:val="00920FF6"/>
    <w:rsid w:val="00921636"/>
    <w:rsid w:val="009220CC"/>
    <w:rsid w:val="00922AD6"/>
    <w:rsid w:val="009262A1"/>
    <w:rsid w:val="00927ED2"/>
    <w:rsid w:val="00931001"/>
    <w:rsid w:val="00931863"/>
    <w:rsid w:val="0093269B"/>
    <w:rsid w:val="00932B7C"/>
    <w:rsid w:val="00933524"/>
    <w:rsid w:val="00933612"/>
    <w:rsid w:val="009374A9"/>
    <w:rsid w:val="0094278D"/>
    <w:rsid w:val="00945E02"/>
    <w:rsid w:val="00946D4C"/>
    <w:rsid w:val="00947B6E"/>
    <w:rsid w:val="00952085"/>
    <w:rsid w:val="009520BC"/>
    <w:rsid w:val="00952740"/>
    <w:rsid w:val="0095308A"/>
    <w:rsid w:val="00955AEE"/>
    <w:rsid w:val="00956F14"/>
    <w:rsid w:val="00961038"/>
    <w:rsid w:val="009620FD"/>
    <w:rsid w:val="00962253"/>
    <w:rsid w:val="0096247A"/>
    <w:rsid w:val="00965F4B"/>
    <w:rsid w:val="0097033D"/>
    <w:rsid w:val="00970F8A"/>
    <w:rsid w:val="00971FB5"/>
    <w:rsid w:val="0097258A"/>
    <w:rsid w:val="00972D2A"/>
    <w:rsid w:val="00972F9B"/>
    <w:rsid w:val="00975807"/>
    <w:rsid w:val="009758DF"/>
    <w:rsid w:val="00975CC5"/>
    <w:rsid w:val="00976328"/>
    <w:rsid w:val="00976361"/>
    <w:rsid w:val="00976841"/>
    <w:rsid w:val="00976B4E"/>
    <w:rsid w:val="00984458"/>
    <w:rsid w:val="00985283"/>
    <w:rsid w:val="009870D3"/>
    <w:rsid w:val="00987322"/>
    <w:rsid w:val="00991190"/>
    <w:rsid w:val="00994404"/>
    <w:rsid w:val="009947FB"/>
    <w:rsid w:val="00996531"/>
    <w:rsid w:val="00996A1F"/>
    <w:rsid w:val="009A01C0"/>
    <w:rsid w:val="009A09BE"/>
    <w:rsid w:val="009A0F3B"/>
    <w:rsid w:val="009A2791"/>
    <w:rsid w:val="009A28AD"/>
    <w:rsid w:val="009A48DF"/>
    <w:rsid w:val="009A5205"/>
    <w:rsid w:val="009A5B3C"/>
    <w:rsid w:val="009A72C7"/>
    <w:rsid w:val="009B0897"/>
    <w:rsid w:val="009B0D28"/>
    <w:rsid w:val="009B126A"/>
    <w:rsid w:val="009B379B"/>
    <w:rsid w:val="009C090C"/>
    <w:rsid w:val="009C1799"/>
    <w:rsid w:val="009C189D"/>
    <w:rsid w:val="009C2C12"/>
    <w:rsid w:val="009C532B"/>
    <w:rsid w:val="009C5E22"/>
    <w:rsid w:val="009C7549"/>
    <w:rsid w:val="009C7CC3"/>
    <w:rsid w:val="009D01B1"/>
    <w:rsid w:val="009D0852"/>
    <w:rsid w:val="009D1BE0"/>
    <w:rsid w:val="009D1FBF"/>
    <w:rsid w:val="009D26E5"/>
    <w:rsid w:val="009D3068"/>
    <w:rsid w:val="009D64F6"/>
    <w:rsid w:val="009D6733"/>
    <w:rsid w:val="009E1D59"/>
    <w:rsid w:val="009E247E"/>
    <w:rsid w:val="009E2614"/>
    <w:rsid w:val="009E2965"/>
    <w:rsid w:val="009E3437"/>
    <w:rsid w:val="009E3692"/>
    <w:rsid w:val="009E399C"/>
    <w:rsid w:val="009E3CD7"/>
    <w:rsid w:val="009E43C1"/>
    <w:rsid w:val="009E7E95"/>
    <w:rsid w:val="009F024F"/>
    <w:rsid w:val="009F05FF"/>
    <w:rsid w:val="009F116F"/>
    <w:rsid w:val="009F11A7"/>
    <w:rsid w:val="009F1E2A"/>
    <w:rsid w:val="009F2676"/>
    <w:rsid w:val="009F2C7A"/>
    <w:rsid w:val="009F329E"/>
    <w:rsid w:val="009F4DD1"/>
    <w:rsid w:val="009F6C1B"/>
    <w:rsid w:val="009F6E91"/>
    <w:rsid w:val="009F768E"/>
    <w:rsid w:val="009F7ED3"/>
    <w:rsid w:val="00A0114C"/>
    <w:rsid w:val="00A01D83"/>
    <w:rsid w:val="00A02A38"/>
    <w:rsid w:val="00A03607"/>
    <w:rsid w:val="00A03A2E"/>
    <w:rsid w:val="00A047FF"/>
    <w:rsid w:val="00A04FEF"/>
    <w:rsid w:val="00A11F49"/>
    <w:rsid w:val="00A122CD"/>
    <w:rsid w:val="00A12A32"/>
    <w:rsid w:val="00A14248"/>
    <w:rsid w:val="00A147A4"/>
    <w:rsid w:val="00A14947"/>
    <w:rsid w:val="00A232E7"/>
    <w:rsid w:val="00A23DC5"/>
    <w:rsid w:val="00A26B99"/>
    <w:rsid w:val="00A27634"/>
    <w:rsid w:val="00A328E2"/>
    <w:rsid w:val="00A34028"/>
    <w:rsid w:val="00A35568"/>
    <w:rsid w:val="00A35E4A"/>
    <w:rsid w:val="00A37056"/>
    <w:rsid w:val="00A40098"/>
    <w:rsid w:val="00A400AF"/>
    <w:rsid w:val="00A4064B"/>
    <w:rsid w:val="00A4358F"/>
    <w:rsid w:val="00A446F0"/>
    <w:rsid w:val="00A44801"/>
    <w:rsid w:val="00A44BD6"/>
    <w:rsid w:val="00A45079"/>
    <w:rsid w:val="00A45AE7"/>
    <w:rsid w:val="00A45E3A"/>
    <w:rsid w:val="00A4620C"/>
    <w:rsid w:val="00A467EA"/>
    <w:rsid w:val="00A468D9"/>
    <w:rsid w:val="00A46F67"/>
    <w:rsid w:val="00A47936"/>
    <w:rsid w:val="00A50FBE"/>
    <w:rsid w:val="00A51BCD"/>
    <w:rsid w:val="00A51C70"/>
    <w:rsid w:val="00A52A55"/>
    <w:rsid w:val="00A54AA1"/>
    <w:rsid w:val="00A550CC"/>
    <w:rsid w:val="00A568FF"/>
    <w:rsid w:val="00A61496"/>
    <w:rsid w:val="00A61827"/>
    <w:rsid w:val="00A61833"/>
    <w:rsid w:val="00A624C6"/>
    <w:rsid w:val="00A63CEC"/>
    <w:rsid w:val="00A640F3"/>
    <w:rsid w:val="00A67468"/>
    <w:rsid w:val="00A7031E"/>
    <w:rsid w:val="00A728B1"/>
    <w:rsid w:val="00A74389"/>
    <w:rsid w:val="00A748B8"/>
    <w:rsid w:val="00A763DE"/>
    <w:rsid w:val="00A76657"/>
    <w:rsid w:val="00A77F3D"/>
    <w:rsid w:val="00A803D6"/>
    <w:rsid w:val="00A806FD"/>
    <w:rsid w:val="00A81282"/>
    <w:rsid w:val="00A81CCC"/>
    <w:rsid w:val="00A83DDD"/>
    <w:rsid w:val="00A8623A"/>
    <w:rsid w:val="00A8713F"/>
    <w:rsid w:val="00A91167"/>
    <w:rsid w:val="00A91679"/>
    <w:rsid w:val="00A916C1"/>
    <w:rsid w:val="00A9171C"/>
    <w:rsid w:val="00A91E47"/>
    <w:rsid w:val="00A92497"/>
    <w:rsid w:val="00A92D8F"/>
    <w:rsid w:val="00A92FFD"/>
    <w:rsid w:val="00A9414F"/>
    <w:rsid w:val="00A94204"/>
    <w:rsid w:val="00A95975"/>
    <w:rsid w:val="00A959F6"/>
    <w:rsid w:val="00A9708D"/>
    <w:rsid w:val="00AA19E9"/>
    <w:rsid w:val="00AA1FBF"/>
    <w:rsid w:val="00AA2C17"/>
    <w:rsid w:val="00AA32B2"/>
    <w:rsid w:val="00AA39C6"/>
    <w:rsid w:val="00AA4172"/>
    <w:rsid w:val="00AB1914"/>
    <w:rsid w:val="00AB29F1"/>
    <w:rsid w:val="00AB5330"/>
    <w:rsid w:val="00AB5820"/>
    <w:rsid w:val="00AB5DDC"/>
    <w:rsid w:val="00AB7746"/>
    <w:rsid w:val="00AB7747"/>
    <w:rsid w:val="00AC24C5"/>
    <w:rsid w:val="00AC2532"/>
    <w:rsid w:val="00AC2786"/>
    <w:rsid w:val="00AC27CF"/>
    <w:rsid w:val="00AC320F"/>
    <w:rsid w:val="00AC56B9"/>
    <w:rsid w:val="00AD0950"/>
    <w:rsid w:val="00AD1507"/>
    <w:rsid w:val="00AD2CBC"/>
    <w:rsid w:val="00AD426E"/>
    <w:rsid w:val="00AD4EAB"/>
    <w:rsid w:val="00AD5093"/>
    <w:rsid w:val="00AD5A70"/>
    <w:rsid w:val="00AD738B"/>
    <w:rsid w:val="00AD7887"/>
    <w:rsid w:val="00AE0F34"/>
    <w:rsid w:val="00AE1BF4"/>
    <w:rsid w:val="00AE3A2F"/>
    <w:rsid w:val="00AE5266"/>
    <w:rsid w:val="00AE5276"/>
    <w:rsid w:val="00AE5772"/>
    <w:rsid w:val="00AE5D84"/>
    <w:rsid w:val="00AE5D97"/>
    <w:rsid w:val="00AE6048"/>
    <w:rsid w:val="00AE6794"/>
    <w:rsid w:val="00AE79F3"/>
    <w:rsid w:val="00AE7BF6"/>
    <w:rsid w:val="00AF129C"/>
    <w:rsid w:val="00AF1DEA"/>
    <w:rsid w:val="00AF1E6B"/>
    <w:rsid w:val="00AF3A2A"/>
    <w:rsid w:val="00AF4CB1"/>
    <w:rsid w:val="00B0011A"/>
    <w:rsid w:val="00B003CA"/>
    <w:rsid w:val="00B01110"/>
    <w:rsid w:val="00B02262"/>
    <w:rsid w:val="00B0377E"/>
    <w:rsid w:val="00B03A87"/>
    <w:rsid w:val="00B03CEC"/>
    <w:rsid w:val="00B06C23"/>
    <w:rsid w:val="00B0757C"/>
    <w:rsid w:val="00B1209F"/>
    <w:rsid w:val="00B12AD0"/>
    <w:rsid w:val="00B13A81"/>
    <w:rsid w:val="00B14D9B"/>
    <w:rsid w:val="00B1614C"/>
    <w:rsid w:val="00B1776C"/>
    <w:rsid w:val="00B21D2F"/>
    <w:rsid w:val="00B21D3D"/>
    <w:rsid w:val="00B22DAA"/>
    <w:rsid w:val="00B24F30"/>
    <w:rsid w:val="00B263D9"/>
    <w:rsid w:val="00B274B6"/>
    <w:rsid w:val="00B27535"/>
    <w:rsid w:val="00B27ACA"/>
    <w:rsid w:val="00B27DF6"/>
    <w:rsid w:val="00B31ABF"/>
    <w:rsid w:val="00B3287D"/>
    <w:rsid w:val="00B3335A"/>
    <w:rsid w:val="00B335AE"/>
    <w:rsid w:val="00B336DE"/>
    <w:rsid w:val="00B36376"/>
    <w:rsid w:val="00B3760E"/>
    <w:rsid w:val="00B37CE1"/>
    <w:rsid w:val="00B4086D"/>
    <w:rsid w:val="00B40ACF"/>
    <w:rsid w:val="00B41301"/>
    <w:rsid w:val="00B433D1"/>
    <w:rsid w:val="00B437A5"/>
    <w:rsid w:val="00B44B69"/>
    <w:rsid w:val="00B465A9"/>
    <w:rsid w:val="00B46A0A"/>
    <w:rsid w:val="00B46BAA"/>
    <w:rsid w:val="00B50529"/>
    <w:rsid w:val="00B50B5F"/>
    <w:rsid w:val="00B50D6C"/>
    <w:rsid w:val="00B51F79"/>
    <w:rsid w:val="00B5340D"/>
    <w:rsid w:val="00B54128"/>
    <w:rsid w:val="00B55826"/>
    <w:rsid w:val="00B55D11"/>
    <w:rsid w:val="00B60426"/>
    <w:rsid w:val="00B604C3"/>
    <w:rsid w:val="00B613DB"/>
    <w:rsid w:val="00B62243"/>
    <w:rsid w:val="00B622DD"/>
    <w:rsid w:val="00B63522"/>
    <w:rsid w:val="00B65100"/>
    <w:rsid w:val="00B6573B"/>
    <w:rsid w:val="00B664E2"/>
    <w:rsid w:val="00B67576"/>
    <w:rsid w:val="00B7032F"/>
    <w:rsid w:val="00B7069D"/>
    <w:rsid w:val="00B709E5"/>
    <w:rsid w:val="00B7559C"/>
    <w:rsid w:val="00B76F1D"/>
    <w:rsid w:val="00B80431"/>
    <w:rsid w:val="00B80826"/>
    <w:rsid w:val="00B81A6A"/>
    <w:rsid w:val="00B825B7"/>
    <w:rsid w:val="00B83BF9"/>
    <w:rsid w:val="00B84373"/>
    <w:rsid w:val="00B878AC"/>
    <w:rsid w:val="00B91727"/>
    <w:rsid w:val="00B91ABC"/>
    <w:rsid w:val="00B92A19"/>
    <w:rsid w:val="00B93222"/>
    <w:rsid w:val="00B9528D"/>
    <w:rsid w:val="00B9544C"/>
    <w:rsid w:val="00B95976"/>
    <w:rsid w:val="00B97E67"/>
    <w:rsid w:val="00BA0CB6"/>
    <w:rsid w:val="00BA29E9"/>
    <w:rsid w:val="00BA32A9"/>
    <w:rsid w:val="00BA51F3"/>
    <w:rsid w:val="00BA78F8"/>
    <w:rsid w:val="00BB05AC"/>
    <w:rsid w:val="00BB08B1"/>
    <w:rsid w:val="00BB22DB"/>
    <w:rsid w:val="00BB2498"/>
    <w:rsid w:val="00BB27B3"/>
    <w:rsid w:val="00BB2C3D"/>
    <w:rsid w:val="00BB3618"/>
    <w:rsid w:val="00BB6E10"/>
    <w:rsid w:val="00BB7084"/>
    <w:rsid w:val="00BC025C"/>
    <w:rsid w:val="00BC0C9E"/>
    <w:rsid w:val="00BC280B"/>
    <w:rsid w:val="00BC32DC"/>
    <w:rsid w:val="00BC508F"/>
    <w:rsid w:val="00BC555A"/>
    <w:rsid w:val="00BD1A42"/>
    <w:rsid w:val="00BD1B51"/>
    <w:rsid w:val="00BD3A80"/>
    <w:rsid w:val="00BD47F6"/>
    <w:rsid w:val="00BD7849"/>
    <w:rsid w:val="00BE312D"/>
    <w:rsid w:val="00BE3FCA"/>
    <w:rsid w:val="00BE4B73"/>
    <w:rsid w:val="00BF0AC5"/>
    <w:rsid w:val="00BF414E"/>
    <w:rsid w:val="00BF6AAB"/>
    <w:rsid w:val="00BF729B"/>
    <w:rsid w:val="00C0024F"/>
    <w:rsid w:val="00C01ABE"/>
    <w:rsid w:val="00C01BE5"/>
    <w:rsid w:val="00C04E88"/>
    <w:rsid w:val="00C054A8"/>
    <w:rsid w:val="00C05719"/>
    <w:rsid w:val="00C05AD8"/>
    <w:rsid w:val="00C07BF6"/>
    <w:rsid w:val="00C1002A"/>
    <w:rsid w:val="00C10578"/>
    <w:rsid w:val="00C10BE9"/>
    <w:rsid w:val="00C159B4"/>
    <w:rsid w:val="00C17D62"/>
    <w:rsid w:val="00C201D9"/>
    <w:rsid w:val="00C20785"/>
    <w:rsid w:val="00C20DCD"/>
    <w:rsid w:val="00C21026"/>
    <w:rsid w:val="00C218B9"/>
    <w:rsid w:val="00C21FDC"/>
    <w:rsid w:val="00C22150"/>
    <w:rsid w:val="00C22575"/>
    <w:rsid w:val="00C234EC"/>
    <w:rsid w:val="00C237B9"/>
    <w:rsid w:val="00C23C69"/>
    <w:rsid w:val="00C24EE7"/>
    <w:rsid w:val="00C2596A"/>
    <w:rsid w:val="00C271BE"/>
    <w:rsid w:val="00C27425"/>
    <w:rsid w:val="00C275B2"/>
    <w:rsid w:val="00C3094D"/>
    <w:rsid w:val="00C31CE6"/>
    <w:rsid w:val="00C328FE"/>
    <w:rsid w:val="00C33A05"/>
    <w:rsid w:val="00C36E9D"/>
    <w:rsid w:val="00C41190"/>
    <w:rsid w:val="00C417CB"/>
    <w:rsid w:val="00C42500"/>
    <w:rsid w:val="00C4409D"/>
    <w:rsid w:val="00C455BE"/>
    <w:rsid w:val="00C4618A"/>
    <w:rsid w:val="00C51E5F"/>
    <w:rsid w:val="00C521E0"/>
    <w:rsid w:val="00C52393"/>
    <w:rsid w:val="00C52DDA"/>
    <w:rsid w:val="00C52EF2"/>
    <w:rsid w:val="00C53C05"/>
    <w:rsid w:val="00C54D81"/>
    <w:rsid w:val="00C57480"/>
    <w:rsid w:val="00C57FB1"/>
    <w:rsid w:val="00C60CC4"/>
    <w:rsid w:val="00C61E4B"/>
    <w:rsid w:val="00C62C8A"/>
    <w:rsid w:val="00C62E3A"/>
    <w:rsid w:val="00C63691"/>
    <w:rsid w:val="00C63BFB"/>
    <w:rsid w:val="00C64503"/>
    <w:rsid w:val="00C64A1F"/>
    <w:rsid w:val="00C64BFF"/>
    <w:rsid w:val="00C65DFD"/>
    <w:rsid w:val="00C66085"/>
    <w:rsid w:val="00C705B8"/>
    <w:rsid w:val="00C71DCC"/>
    <w:rsid w:val="00C73110"/>
    <w:rsid w:val="00C746C8"/>
    <w:rsid w:val="00C75327"/>
    <w:rsid w:val="00C75580"/>
    <w:rsid w:val="00C763C9"/>
    <w:rsid w:val="00C765BE"/>
    <w:rsid w:val="00C77629"/>
    <w:rsid w:val="00C80057"/>
    <w:rsid w:val="00C80CFD"/>
    <w:rsid w:val="00C818C5"/>
    <w:rsid w:val="00C82827"/>
    <w:rsid w:val="00C82C79"/>
    <w:rsid w:val="00C84753"/>
    <w:rsid w:val="00C84D9C"/>
    <w:rsid w:val="00C904F4"/>
    <w:rsid w:val="00C90755"/>
    <w:rsid w:val="00C91611"/>
    <w:rsid w:val="00C92A59"/>
    <w:rsid w:val="00C94B7E"/>
    <w:rsid w:val="00C96CD2"/>
    <w:rsid w:val="00C974F4"/>
    <w:rsid w:val="00C9753C"/>
    <w:rsid w:val="00CA1EAF"/>
    <w:rsid w:val="00CA263D"/>
    <w:rsid w:val="00CA3585"/>
    <w:rsid w:val="00CA3D5A"/>
    <w:rsid w:val="00CA4A7B"/>
    <w:rsid w:val="00CA4C7C"/>
    <w:rsid w:val="00CB0183"/>
    <w:rsid w:val="00CB118E"/>
    <w:rsid w:val="00CB1CC2"/>
    <w:rsid w:val="00CB1EA3"/>
    <w:rsid w:val="00CB3BC9"/>
    <w:rsid w:val="00CB52C3"/>
    <w:rsid w:val="00CB552C"/>
    <w:rsid w:val="00CB5B5D"/>
    <w:rsid w:val="00CB6A9E"/>
    <w:rsid w:val="00CB7C50"/>
    <w:rsid w:val="00CC0D0C"/>
    <w:rsid w:val="00CC2087"/>
    <w:rsid w:val="00CC28B2"/>
    <w:rsid w:val="00CC5269"/>
    <w:rsid w:val="00CC5CC1"/>
    <w:rsid w:val="00CC6181"/>
    <w:rsid w:val="00CC6AF3"/>
    <w:rsid w:val="00CC75F7"/>
    <w:rsid w:val="00CD047F"/>
    <w:rsid w:val="00CD2BCD"/>
    <w:rsid w:val="00CD3428"/>
    <w:rsid w:val="00CD34B9"/>
    <w:rsid w:val="00CD36AA"/>
    <w:rsid w:val="00CD3791"/>
    <w:rsid w:val="00CD5D16"/>
    <w:rsid w:val="00CD61A8"/>
    <w:rsid w:val="00CD65B0"/>
    <w:rsid w:val="00CD6A10"/>
    <w:rsid w:val="00CE02CD"/>
    <w:rsid w:val="00CE10E9"/>
    <w:rsid w:val="00CE35C4"/>
    <w:rsid w:val="00CE4913"/>
    <w:rsid w:val="00CF1F9A"/>
    <w:rsid w:val="00CF26C7"/>
    <w:rsid w:val="00CF34B9"/>
    <w:rsid w:val="00CF59F9"/>
    <w:rsid w:val="00CF5DDD"/>
    <w:rsid w:val="00D0072E"/>
    <w:rsid w:val="00D043C7"/>
    <w:rsid w:val="00D04699"/>
    <w:rsid w:val="00D05892"/>
    <w:rsid w:val="00D05F5C"/>
    <w:rsid w:val="00D077E5"/>
    <w:rsid w:val="00D128C3"/>
    <w:rsid w:val="00D13812"/>
    <w:rsid w:val="00D13D96"/>
    <w:rsid w:val="00D15727"/>
    <w:rsid w:val="00D16332"/>
    <w:rsid w:val="00D1665D"/>
    <w:rsid w:val="00D171B1"/>
    <w:rsid w:val="00D17719"/>
    <w:rsid w:val="00D2140F"/>
    <w:rsid w:val="00D221F2"/>
    <w:rsid w:val="00D23D92"/>
    <w:rsid w:val="00D24972"/>
    <w:rsid w:val="00D2515E"/>
    <w:rsid w:val="00D26E17"/>
    <w:rsid w:val="00D2778F"/>
    <w:rsid w:val="00D2799A"/>
    <w:rsid w:val="00D27D1A"/>
    <w:rsid w:val="00D307C7"/>
    <w:rsid w:val="00D308ED"/>
    <w:rsid w:val="00D3123A"/>
    <w:rsid w:val="00D31F83"/>
    <w:rsid w:val="00D32153"/>
    <w:rsid w:val="00D3223F"/>
    <w:rsid w:val="00D3279A"/>
    <w:rsid w:val="00D3595A"/>
    <w:rsid w:val="00D35D2E"/>
    <w:rsid w:val="00D36273"/>
    <w:rsid w:val="00D3664E"/>
    <w:rsid w:val="00D41453"/>
    <w:rsid w:val="00D41F78"/>
    <w:rsid w:val="00D4466C"/>
    <w:rsid w:val="00D46E87"/>
    <w:rsid w:val="00D47050"/>
    <w:rsid w:val="00D47711"/>
    <w:rsid w:val="00D501A1"/>
    <w:rsid w:val="00D51A55"/>
    <w:rsid w:val="00D5388A"/>
    <w:rsid w:val="00D544E9"/>
    <w:rsid w:val="00D549E7"/>
    <w:rsid w:val="00D54F13"/>
    <w:rsid w:val="00D56178"/>
    <w:rsid w:val="00D56CF0"/>
    <w:rsid w:val="00D56F5C"/>
    <w:rsid w:val="00D60CA3"/>
    <w:rsid w:val="00D6613E"/>
    <w:rsid w:val="00D66D2B"/>
    <w:rsid w:val="00D704A0"/>
    <w:rsid w:val="00D704B1"/>
    <w:rsid w:val="00D70B63"/>
    <w:rsid w:val="00D72483"/>
    <w:rsid w:val="00D72B92"/>
    <w:rsid w:val="00D72ED4"/>
    <w:rsid w:val="00D735EC"/>
    <w:rsid w:val="00D73F61"/>
    <w:rsid w:val="00D754C0"/>
    <w:rsid w:val="00D7641D"/>
    <w:rsid w:val="00D7653F"/>
    <w:rsid w:val="00D776A2"/>
    <w:rsid w:val="00D801C4"/>
    <w:rsid w:val="00D858AD"/>
    <w:rsid w:val="00D85D21"/>
    <w:rsid w:val="00D86E07"/>
    <w:rsid w:val="00D8777B"/>
    <w:rsid w:val="00D90836"/>
    <w:rsid w:val="00D92108"/>
    <w:rsid w:val="00D92587"/>
    <w:rsid w:val="00D934C7"/>
    <w:rsid w:val="00D956B3"/>
    <w:rsid w:val="00D95896"/>
    <w:rsid w:val="00D95CC6"/>
    <w:rsid w:val="00D95D2F"/>
    <w:rsid w:val="00DA11B1"/>
    <w:rsid w:val="00DA2DA3"/>
    <w:rsid w:val="00DA40BA"/>
    <w:rsid w:val="00DA6615"/>
    <w:rsid w:val="00DA76AE"/>
    <w:rsid w:val="00DB181E"/>
    <w:rsid w:val="00DB1C7A"/>
    <w:rsid w:val="00DB2983"/>
    <w:rsid w:val="00DB343D"/>
    <w:rsid w:val="00DB52CC"/>
    <w:rsid w:val="00DB5579"/>
    <w:rsid w:val="00DB5CFE"/>
    <w:rsid w:val="00DB6699"/>
    <w:rsid w:val="00DB720B"/>
    <w:rsid w:val="00DC0164"/>
    <w:rsid w:val="00DC12DE"/>
    <w:rsid w:val="00DC2C4A"/>
    <w:rsid w:val="00DC2FD6"/>
    <w:rsid w:val="00DC3079"/>
    <w:rsid w:val="00DC33E7"/>
    <w:rsid w:val="00DC5AF9"/>
    <w:rsid w:val="00DC72A6"/>
    <w:rsid w:val="00DD0B90"/>
    <w:rsid w:val="00DD123C"/>
    <w:rsid w:val="00DD2113"/>
    <w:rsid w:val="00DD265E"/>
    <w:rsid w:val="00DD59B6"/>
    <w:rsid w:val="00DD7755"/>
    <w:rsid w:val="00DE43CD"/>
    <w:rsid w:val="00DE50E5"/>
    <w:rsid w:val="00DF1118"/>
    <w:rsid w:val="00DF1930"/>
    <w:rsid w:val="00DF35E3"/>
    <w:rsid w:val="00DF3DE1"/>
    <w:rsid w:val="00DF514A"/>
    <w:rsid w:val="00DF7119"/>
    <w:rsid w:val="00E009A3"/>
    <w:rsid w:val="00E01033"/>
    <w:rsid w:val="00E02FE3"/>
    <w:rsid w:val="00E0338B"/>
    <w:rsid w:val="00E0358D"/>
    <w:rsid w:val="00E0501A"/>
    <w:rsid w:val="00E054C4"/>
    <w:rsid w:val="00E06327"/>
    <w:rsid w:val="00E0637F"/>
    <w:rsid w:val="00E10AD6"/>
    <w:rsid w:val="00E10F77"/>
    <w:rsid w:val="00E11EFF"/>
    <w:rsid w:val="00E121E6"/>
    <w:rsid w:val="00E12B0E"/>
    <w:rsid w:val="00E152C6"/>
    <w:rsid w:val="00E2064B"/>
    <w:rsid w:val="00E20DE9"/>
    <w:rsid w:val="00E22970"/>
    <w:rsid w:val="00E2478C"/>
    <w:rsid w:val="00E25239"/>
    <w:rsid w:val="00E265B1"/>
    <w:rsid w:val="00E275A6"/>
    <w:rsid w:val="00E275B0"/>
    <w:rsid w:val="00E30517"/>
    <w:rsid w:val="00E33BC1"/>
    <w:rsid w:val="00E34491"/>
    <w:rsid w:val="00E34A12"/>
    <w:rsid w:val="00E35BA7"/>
    <w:rsid w:val="00E35FAF"/>
    <w:rsid w:val="00E412D0"/>
    <w:rsid w:val="00E41424"/>
    <w:rsid w:val="00E4471A"/>
    <w:rsid w:val="00E45B3B"/>
    <w:rsid w:val="00E4600B"/>
    <w:rsid w:val="00E46D5A"/>
    <w:rsid w:val="00E47CDB"/>
    <w:rsid w:val="00E47F5F"/>
    <w:rsid w:val="00E505C5"/>
    <w:rsid w:val="00E50E1D"/>
    <w:rsid w:val="00E518CB"/>
    <w:rsid w:val="00E532F3"/>
    <w:rsid w:val="00E5354A"/>
    <w:rsid w:val="00E5368B"/>
    <w:rsid w:val="00E540EA"/>
    <w:rsid w:val="00E54758"/>
    <w:rsid w:val="00E54A00"/>
    <w:rsid w:val="00E55181"/>
    <w:rsid w:val="00E558EE"/>
    <w:rsid w:val="00E566BC"/>
    <w:rsid w:val="00E57D27"/>
    <w:rsid w:val="00E60982"/>
    <w:rsid w:val="00E60C8D"/>
    <w:rsid w:val="00E6162F"/>
    <w:rsid w:val="00E6252D"/>
    <w:rsid w:val="00E6311B"/>
    <w:rsid w:val="00E65D97"/>
    <w:rsid w:val="00E67EFD"/>
    <w:rsid w:val="00E702DC"/>
    <w:rsid w:val="00E70E2C"/>
    <w:rsid w:val="00E71332"/>
    <w:rsid w:val="00E71FFB"/>
    <w:rsid w:val="00E7278A"/>
    <w:rsid w:val="00E72837"/>
    <w:rsid w:val="00E72A2C"/>
    <w:rsid w:val="00E72DEE"/>
    <w:rsid w:val="00E72EFF"/>
    <w:rsid w:val="00E73EF0"/>
    <w:rsid w:val="00E7484A"/>
    <w:rsid w:val="00E76314"/>
    <w:rsid w:val="00E76D1D"/>
    <w:rsid w:val="00E806F8"/>
    <w:rsid w:val="00E80748"/>
    <w:rsid w:val="00E807A8"/>
    <w:rsid w:val="00E820B9"/>
    <w:rsid w:val="00E8255A"/>
    <w:rsid w:val="00E87752"/>
    <w:rsid w:val="00E8793B"/>
    <w:rsid w:val="00E9053E"/>
    <w:rsid w:val="00E90F81"/>
    <w:rsid w:val="00E91A6D"/>
    <w:rsid w:val="00E91A89"/>
    <w:rsid w:val="00E9242D"/>
    <w:rsid w:val="00E973C0"/>
    <w:rsid w:val="00E97E39"/>
    <w:rsid w:val="00EA063D"/>
    <w:rsid w:val="00EA1F8E"/>
    <w:rsid w:val="00EA4D38"/>
    <w:rsid w:val="00EA710C"/>
    <w:rsid w:val="00EA7EE5"/>
    <w:rsid w:val="00EB041C"/>
    <w:rsid w:val="00EB0A82"/>
    <w:rsid w:val="00EB22A8"/>
    <w:rsid w:val="00EB309F"/>
    <w:rsid w:val="00EB5891"/>
    <w:rsid w:val="00EB64A6"/>
    <w:rsid w:val="00EB6792"/>
    <w:rsid w:val="00EB7820"/>
    <w:rsid w:val="00EC0429"/>
    <w:rsid w:val="00EC04A2"/>
    <w:rsid w:val="00EC26E6"/>
    <w:rsid w:val="00EC3741"/>
    <w:rsid w:val="00EC5874"/>
    <w:rsid w:val="00EC6135"/>
    <w:rsid w:val="00EC6648"/>
    <w:rsid w:val="00ED08D3"/>
    <w:rsid w:val="00ED0C82"/>
    <w:rsid w:val="00ED192D"/>
    <w:rsid w:val="00ED30B4"/>
    <w:rsid w:val="00ED31F5"/>
    <w:rsid w:val="00ED3EC9"/>
    <w:rsid w:val="00ED63B2"/>
    <w:rsid w:val="00ED6ACD"/>
    <w:rsid w:val="00EE1138"/>
    <w:rsid w:val="00EE17A4"/>
    <w:rsid w:val="00EE25F3"/>
    <w:rsid w:val="00EE3E41"/>
    <w:rsid w:val="00EE3F45"/>
    <w:rsid w:val="00EF008E"/>
    <w:rsid w:val="00EF0C4B"/>
    <w:rsid w:val="00EF134F"/>
    <w:rsid w:val="00EF26D9"/>
    <w:rsid w:val="00EF2759"/>
    <w:rsid w:val="00EF45EB"/>
    <w:rsid w:val="00EF4C71"/>
    <w:rsid w:val="00EF5099"/>
    <w:rsid w:val="00EF5E33"/>
    <w:rsid w:val="00EF6115"/>
    <w:rsid w:val="00F00075"/>
    <w:rsid w:val="00F01060"/>
    <w:rsid w:val="00F01E48"/>
    <w:rsid w:val="00F024C2"/>
    <w:rsid w:val="00F025A2"/>
    <w:rsid w:val="00F03151"/>
    <w:rsid w:val="00F06C87"/>
    <w:rsid w:val="00F07822"/>
    <w:rsid w:val="00F10D39"/>
    <w:rsid w:val="00F11F0F"/>
    <w:rsid w:val="00F12B1F"/>
    <w:rsid w:val="00F15C95"/>
    <w:rsid w:val="00F1653F"/>
    <w:rsid w:val="00F21F50"/>
    <w:rsid w:val="00F22985"/>
    <w:rsid w:val="00F2345F"/>
    <w:rsid w:val="00F236A3"/>
    <w:rsid w:val="00F23FB4"/>
    <w:rsid w:val="00F24071"/>
    <w:rsid w:val="00F241AB"/>
    <w:rsid w:val="00F24BFB"/>
    <w:rsid w:val="00F25CFF"/>
    <w:rsid w:val="00F2614B"/>
    <w:rsid w:val="00F27F6B"/>
    <w:rsid w:val="00F30497"/>
    <w:rsid w:val="00F30D8D"/>
    <w:rsid w:val="00F31382"/>
    <w:rsid w:val="00F320A8"/>
    <w:rsid w:val="00F33378"/>
    <w:rsid w:val="00F33384"/>
    <w:rsid w:val="00F34E66"/>
    <w:rsid w:val="00F35829"/>
    <w:rsid w:val="00F361E9"/>
    <w:rsid w:val="00F36D70"/>
    <w:rsid w:val="00F404A9"/>
    <w:rsid w:val="00F40FFD"/>
    <w:rsid w:val="00F415A5"/>
    <w:rsid w:val="00F42868"/>
    <w:rsid w:val="00F441F9"/>
    <w:rsid w:val="00F44FE0"/>
    <w:rsid w:val="00F465A7"/>
    <w:rsid w:val="00F47B58"/>
    <w:rsid w:val="00F50274"/>
    <w:rsid w:val="00F50B7C"/>
    <w:rsid w:val="00F51BB5"/>
    <w:rsid w:val="00F5202D"/>
    <w:rsid w:val="00F52173"/>
    <w:rsid w:val="00F52CF6"/>
    <w:rsid w:val="00F5302F"/>
    <w:rsid w:val="00F53A34"/>
    <w:rsid w:val="00F54496"/>
    <w:rsid w:val="00F55BF2"/>
    <w:rsid w:val="00F55C9B"/>
    <w:rsid w:val="00F61097"/>
    <w:rsid w:val="00F61E79"/>
    <w:rsid w:val="00F6436F"/>
    <w:rsid w:val="00F671E9"/>
    <w:rsid w:val="00F674FA"/>
    <w:rsid w:val="00F71B74"/>
    <w:rsid w:val="00F74345"/>
    <w:rsid w:val="00F74441"/>
    <w:rsid w:val="00F74558"/>
    <w:rsid w:val="00F753F6"/>
    <w:rsid w:val="00F75C43"/>
    <w:rsid w:val="00F75E84"/>
    <w:rsid w:val="00F7612C"/>
    <w:rsid w:val="00F77F30"/>
    <w:rsid w:val="00F803AD"/>
    <w:rsid w:val="00F82589"/>
    <w:rsid w:val="00F82B19"/>
    <w:rsid w:val="00F83CDE"/>
    <w:rsid w:val="00F8433B"/>
    <w:rsid w:val="00F84855"/>
    <w:rsid w:val="00F859CA"/>
    <w:rsid w:val="00F870C3"/>
    <w:rsid w:val="00F90AA7"/>
    <w:rsid w:val="00F911C2"/>
    <w:rsid w:val="00F91829"/>
    <w:rsid w:val="00F9212D"/>
    <w:rsid w:val="00F94219"/>
    <w:rsid w:val="00F9490A"/>
    <w:rsid w:val="00F94B10"/>
    <w:rsid w:val="00F94CDF"/>
    <w:rsid w:val="00F95610"/>
    <w:rsid w:val="00F959AA"/>
    <w:rsid w:val="00F96464"/>
    <w:rsid w:val="00F96EA0"/>
    <w:rsid w:val="00FA1A04"/>
    <w:rsid w:val="00FA1CE7"/>
    <w:rsid w:val="00FA2A43"/>
    <w:rsid w:val="00FA301A"/>
    <w:rsid w:val="00FA406A"/>
    <w:rsid w:val="00FA5CB6"/>
    <w:rsid w:val="00FA6A9E"/>
    <w:rsid w:val="00FB04F7"/>
    <w:rsid w:val="00FB07C3"/>
    <w:rsid w:val="00FB122F"/>
    <w:rsid w:val="00FB3E4C"/>
    <w:rsid w:val="00FB7A6D"/>
    <w:rsid w:val="00FC3CCA"/>
    <w:rsid w:val="00FC4103"/>
    <w:rsid w:val="00FC4EC4"/>
    <w:rsid w:val="00FC62EA"/>
    <w:rsid w:val="00FC66AC"/>
    <w:rsid w:val="00FC6A4B"/>
    <w:rsid w:val="00FC727C"/>
    <w:rsid w:val="00FD109B"/>
    <w:rsid w:val="00FD18F4"/>
    <w:rsid w:val="00FD6E7B"/>
    <w:rsid w:val="00FD74B4"/>
    <w:rsid w:val="00FD7CD8"/>
    <w:rsid w:val="00FE18AE"/>
    <w:rsid w:val="00FE4630"/>
    <w:rsid w:val="00FE7354"/>
    <w:rsid w:val="00FE7BE2"/>
    <w:rsid w:val="00FF08DF"/>
    <w:rsid w:val="00FF3E43"/>
    <w:rsid w:val="00FF4638"/>
    <w:rsid w:val="00FF6FCE"/>
    <w:rsid w:val="00FF7079"/>
    <w:rsid w:val="00FF7518"/>
    <w:rsid w:val="00FF7FD8"/>
    <w:rsid w:val="014F4893"/>
    <w:rsid w:val="021E7CD3"/>
    <w:rsid w:val="027E56FE"/>
    <w:rsid w:val="034253AD"/>
    <w:rsid w:val="03F20308"/>
    <w:rsid w:val="05742AC8"/>
    <w:rsid w:val="058E7A00"/>
    <w:rsid w:val="05F112A0"/>
    <w:rsid w:val="06352F05"/>
    <w:rsid w:val="063E7D85"/>
    <w:rsid w:val="070875E0"/>
    <w:rsid w:val="07293586"/>
    <w:rsid w:val="07295285"/>
    <w:rsid w:val="07770C56"/>
    <w:rsid w:val="092217DD"/>
    <w:rsid w:val="093A7294"/>
    <w:rsid w:val="09C81907"/>
    <w:rsid w:val="0A296FD7"/>
    <w:rsid w:val="0B150654"/>
    <w:rsid w:val="0B994BAF"/>
    <w:rsid w:val="0BD27BF6"/>
    <w:rsid w:val="0C865399"/>
    <w:rsid w:val="0C872568"/>
    <w:rsid w:val="0E110D06"/>
    <w:rsid w:val="0EED3B69"/>
    <w:rsid w:val="0F13775A"/>
    <w:rsid w:val="0F9A112B"/>
    <w:rsid w:val="106D2F64"/>
    <w:rsid w:val="10B63710"/>
    <w:rsid w:val="111C2F7A"/>
    <w:rsid w:val="113013DE"/>
    <w:rsid w:val="122B06C2"/>
    <w:rsid w:val="13951726"/>
    <w:rsid w:val="14396509"/>
    <w:rsid w:val="1447165C"/>
    <w:rsid w:val="168570C5"/>
    <w:rsid w:val="169155F6"/>
    <w:rsid w:val="17735226"/>
    <w:rsid w:val="179806FD"/>
    <w:rsid w:val="1A1C66C0"/>
    <w:rsid w:val="1A42393B"/>
    <w:rsid w:val="1B046F80"/>
    <w:rsid w:val="1B3267B5"/>
    <w:rsid w:val="1BC25DC8"/>
    <w:rsid w:val="1C5E7925"/>
    <w:rsid w:val="1C887FC8"/>
    <w:rsid w:val="1CB56D37"/>
    <w:rsid w:val="1D2029C5"/>
    <w:rsid w:val="1D5F6196"/>
    <w:rsid w:val="1D6132A5"/>
    <w:rsid w:val="1D8E56D5"/>
    <w:rsid w:val="1E7A43DA"/>
    <w:rsid w:val="1EB277FE"/>
    <w:rsid w:val="1FE7539E"/>
    <w:rsid w:val="20843540"/>
    <w:rsid w:val="20963CB8"/>
    <w:rsid w:val="20B07FB6"/>
    <w:rsid w:val="20E94A1A"/>
    <w:rsid w:val="213B74B1"/>
    <w:rsid w:val="215A2310"/>
    <w:rsid w:val="21DE318A"/>
    <w:rsid w:val="21EF5B80"/>
    <w:rsid w:val="22576990"/>
    <w:rsid w:val="228C0E8D"/>
    <w:rsid w:val="229C4EAB"/>
    <w:rsid w:val="23244DE0"/>
    <w:rsid w:val="252D53FE"/>
    <w:rsid w:val="25EC2D81"/>
    <w:rsid w:val="264528BD"/>
    <w:rsid w:val="27D15DD1"/>
    <w:rsid w:val="28A76295"/>
    <w:rsid w:val="29206EB8"/>
    <w:rsid w:val="29926712"/>
    <w:rsid w:val="29E325E0"/>
    <w:rsid w:val="2A452503"/>
    <w:rsid w:val="2B241C55"/>
    <w:rsid w:val="2BA936A8"/>
    <w:rsid w:val="2C315A5A"/>
    <w:rsid w:val="2CAE5ED9"/>
    <w:rsid w:val="2D5E7D0A"/>
    <w:rsid w:val="2D9E56F5"/>
    <w:rsid w:val="2E667F96"/>
    <w:rsid w:val="2E8226AB"/>
    <w:rsid w:val="2F832C79"/>
    <w:rsid w:val="2FEF2D58"/>
    <w:rsid w:val="30580BC9"/>
    <w:rsid w:val="311E2ED7"/>
    <w:rsid w:val="315C449C"/>
    <w:rsid w:val="31B82709"/>
    <w:rsid w:val="32400B34"/>
    <w:rsid w:val="328A5CFA"/>
    <w:rsid w:val="329E6876"/>
    <w:rsid w:val="33D934D4"/>
    <w:rsid w:val="33DA3AAE"/>
    <w:rsid w:val="33FE2F6A"/>
    <w:rsid w:val="35377728"/>
    <w:rsid w:val="35485D84"/>
    <w:rsid w:val="35F136D7"/>
    <w:rsid w:val="36074A7F"/>
    <w:rsid w:val="36923549"/>
    <w:rsid w:val="36B75FBF"/>
    <w:rsid w:val="36FB4891"/>
    <w:rsid w:val="38F12CD3"/>
    <w:rsid w:val="38F94775"/>
    <w:rsid w:val="392971ED"/>
    <w:rsid w:val="39D23390"/>
    <w:rsid w:val="3B3763D1"/>
    <w:rsid w:val="3BAB6E8A"/>
    <w:rsid w:val="3CDA245A"/>
    <w:rsid w:val="3CEE0A37"/>
    <w:rsid w:val="3D1073BD"/>
    <w:rsid w:val="3D941CBB"/>
    <w:rsid w:val="3F660E74"/>
    <w:rsid w:val="40522E08"/>
    <w:rsid w:val="407A6407"/>
    <w:rsid w:val="41AB76F3"/>
    <w:rsid w:val="423A3BCC"/>
    <w:rsid w:val="428D3284"/>
    <w:rsid w:val="4309216D"/>
    <w:rsid w:val="433A6FE6"/>
    <w:rsid w:val="4350713C"/>
    <w:rsid w:val="436653E0"/>
    <w:rsid w:val="44CD14E0"/>
    <w:rsid w:val="450673DD"/>
    <w:rsid w:val="458946E9"/>
    <w:rsid w:val="46D955A7"/>
    <w:rsid w:val="47133957"/>
    <w:rsid w:val="4779329E"/>
    <w:rsid w:val="47A07E0C"/>
    <w:rsid w:val="4870272E"/>
    <w:rsid w:val="489A00D0"/>
    <w:rsid w:val="49CF69A8"/>
    <w:rsid w:val="49DC7715"/>
    <w:rsid w:val="4A023139"/>
    <w:rsid w:val="4A7B576F"/>
    <w:rsid w:val="4C4A0649"/>
    <w:rsid w:val="4CE470D3"/>
    <w:rsid w:val="4DEC4FB0"/>
    <w:rsid w:val="4E075D8A"/>
    <w:rsid w:val="4EA946CB"/>
    <w:rsid w:val="4FA00A88"/>
    <w:rsid w:val="4FC62A8C"/>
    <w:rsid w:val="4FE20F0D"/>
    <w:rsid w:val="50504C4B"/>
    <w:rsid w:val="509C6E7C"/>
    <w:rsid w:val="5162104E"/>
    <w:rsid w:val="519C5FB8"/>
    <w:rsid w:val="51DC746E"/>
    <w:rsid w:val="53A039CC"/>
    <w:rsid w:val="53A1505A"/>
    <w:rsid w:val="54063E08"/>
    <w:rsid w:val="543437E8"/>
    <w:rsid w:val="559B174B"/>
    <w:rsid w:val="55CE0CF4"/>
    <w:rsid w:val="568B6A4F"/>
    <w:rsid w:val="56B22A9C"/>
    <w:rsid w:val="57B72A76"/>
    <w:rsid w:val="594D408F"/>
    <w:rsid w:val="599D71ED"/>
    <w:rsid w:val="5A3C747D"/>
    <w:rsid w:val="5A9F2F67"/>
    <w:rsid w:val="5ABE2233"/>
    <w:rsid w:val="5B276D18"/>
    <w:rsid w:val="5BDF5D95"/>
    <w:rsid w:val="5DF87A0F"/>
    <w:rsid w:val="5ED126B7"/>
    <w:rsid w:val="5F1A2B43"/>
    <w:rsid w:val="5F7C42B5"/>
    <w:rsid w:val="5FA3708D"/>
    <w:rsid w:val="5FB837BB"/>
    <w:rsid w:val="62001A5F"/>
    <w:rsid w:val="62364782"/>
    <w:rsid w:val="63D40BE9"/>
    <w:rsid w:val="63E0211F"/>
    <w:rsid w:val="65373578"/>
    <w:rsid w:val="673F2C7A"/>
    <w:rsid w:val="681F6961"/>
    <w:rsid w:val="6838253A"/>
    <w:rsid w:val="68610A2F"/>
    <w:rsid w:val="68805514"/>
    <w:rsid w:val="694E2071"/>
    <w:rsid w:val="697A3B33"/>
    <w:rsid w:val="699E2456"/>
    <w:rsid w:val="6B322639"/>
    <w:rsid w:val="6B510141"/>
    <w:rsid w:val="6C604859"/>
    <w:rsid w:val="6C636C38"/>
    <w:rsid w:val="6DB34098"/>
    <w:rsid w:val="6DB545B6"/>
    <w:rsid w:val="6E4375A0"/>
    <w:rsid w:val="6E514CED"/>
    <w:rsid w:val="6E79491A"/>
    <w:rsid w:val="6EB563D5"/>
    <w:rsid w:val="6F225983"/>
    <w:rsid w:val="6FFC5590"/>
    <w:rsid w:val="70301DA3"/>
    <w:rsid w:val="706D1DD0"/>
    <w:rsid w:val="70856B87"/>
    <w:rsid w:val="70D527EE"/>
    <w:rsid w:val="70DF584B"/>
    <w:rsid w:val="71265AEE"/>
    <w:rsid w:val="715B5300"/>
    <w:rsid w:val="715F4BD7"/>
    <w:rsid w:val="71D27F8A"/>
    <w:rsid w:val="71F744C6"/>
    <w:rsid w:val="71F960CF"/>
    <w:rsid w:val="73137392"/>
    <w:rsid w:val="731F5D5E"/>
    <w:rsid w:val="741E793C"/>
    <w:rsid w:val="758D75E2"/>
    <w:rsid w:val="77586803"/>
    <w:rsid w:val="77762421"/>
    <w:rsid w:val="77A57B5D"/>
    <w:rsid w:val="780F09F4"/>
    <w:rsid w:val="782D793E"/>
    <w:rsid w:val="789C4F47"/>
    <w:rsid w:val="78A90480"/>
    <w:rsid w:val="79811327"/>
    <w:rsid w:val="79ED3905"/>
    <w:rsid w:val="7A364017"/>
    <w:rsid w:val="7A8265E1"/>
    <w:rsid w:val="7B6701A4"/>
    <w:rsid w:val="7B686D42"/>
    <w:rsid w:val="7B841746"/>
    <w:rsid w:val="7C3C1950"/>
    <w:rsid w:val="7D0239FF"/>
    <w:rsid w:val="7D5E40CD"/>
    <w:rsid w:val="7D693BED"/>
    <w:rsid w:val="7DC961A2"/>
    <w:rsid w:val="7F067A67"/>
    <w:rsid w:val="7FE47E5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semiHidden="0" w:name="toc 1" w:locked="1"/>
    <w:lsdException w:qFormat="1" w:unhideWhenUsed="0" w:uiPriority="0" w:semiHidden="0" w:name="toc 2" w:locked="1"/>
    <w:lsdException w:qFormat="1" w:unhideWhenUsed="0" w:uiPriority="0" w:semiHidden="0" w:name="toc 3" w:locked="1"/>
    <w:lsdException w:qFormat="1" w:unhideWhenUsed="0" w:uiPriority="0" w:semiHidden="0" w:name="toc 4" w:locked="1"/>
    <w:lsdException w:uiPriority="0" w:name="toc 5" w:locked="1"/>
    <w:lsdException w:uiPriority="0" w:name="toc 6" w:locked="1"/>
    <w:lsdException w:uiPriority="0" w:name="toc 7" w:locked="1"/>
    <w:lsdException w:uiPriority="0" w:name="toc 8" w:locked="1"/>
    <w:lsdException w:uiPriority="0" w:name="toc 9" w:locked="1"/>
    <w:lsdException w:qFormat="1" w:unhideWhenUsed="0" w:uiPriority="0" w:semiHidden="0" w:name="Normal Indent"/>
    <w:lsdException w:uiPriority="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ocked="1"/>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qFormat="1" w:uiPriority="0" w:semiHidden="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ocked="1"/>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ocked="1"/>
    <w:lsdException w:uiPriority="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iPriority="0" w:name="Note Heading"/>
    <w:lsdException w:uiPriority="0" w:name="Body Text 2"/>
    <w:lsdException w:uiPriority="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0" w:semiHidden="0" w:name="Hyperlink"/>
    <w:lsdException w:uiPriority="0" w:name="FollowedHyperlink"/>
    <w:lsdException w:qFormat="1" w:unhideWhenUsed="0" w:uiPriority="0" w:semiHidden="0" w:name="Strong" w:locked="1"/>
    <w:lsdException w:qFormat="1" w:unhideWhenUsed="0" w:uiPriority="0" w:semiHidden="0" w:name="Emphasis" w:locked="1"/>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98"/>
    <w:qFormat/>
    <w:locked/>
    <w:uiPriority w:val="0"/>
    <w:pPr>
      <w:keepNext/>
      <w:keepLines/>
      <w:widowControl/>
      <w:spacing w:before="260" w:after="260" w:line="413" w:lineRule="auto"/>
      <w:jc w:val="left"/>
      <w:outlineLvl w:val="1"/>
    </w:pPr>
    <w:rPr>
      <w:rFonts w:ascii="Arial" w:hAnsi="Arial" w:eastAsia="黑体"/>
      <w:b/>
      <w:bCs/>
      <w:sz w:val="32"/>
      <w:szCs w:val="32"/>
    </w:rPr>
  </w:style>
  <w:style w:type="paragraph" w:styleId="5">
    <w:name w:val="heading 3"/>
    <w:basedOn w:val="1"/>
    <w:next w:val="1"/>
    <w:link w:val="73"/>
    <w:unhideWhenUsed/>
    <w:qFormat/>
    <w:locked/>
    <w:uiPriority w:val="0"/>
    <w:pPr>
      <w:keepNext/>
      <w:keepLines/>
      <w:spacing w:before="260" w:after="260" w:line="416" w:lineRule="auto"/>
      <w:outlineLvl w:val="2"/>
    </w:pPr>
    <w:rPr>
      <w:b/>
      <w:bCs/>
      <w:sz w:val="32"/>
      <w:szCs w:val="32"/>
    </w:rPr>
  </w:style>
  <w:style w:type="paragraph" w:styleId="6">
    <w:name w:val="heading 4"/>
    <w:basedOn w:val="1"/>
    <w:next w:val="1"/>
    <w:link w:val="74"/>
    <w:unhideWhenUsed/>
    <w:qFormat/>
    <w:locked/>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link w:val="99"/>
    <w:semiHidden/>
    <w:unhideWhenUsed/>
    <w:qFormat/>
    <w:locked/>
    <w:uiPriority w:val="0"/>
    <w:pPr>
      <w:keepNext/>
      <w:keepLines/>
      <w:widowControl/>
      <w:spacing w:before="280" w:after="290" w:line="376" w:lineRule="auto"/>
      <w:jc w:val="left"/>
      <w:outlineLvl w:val="4"/>
    </w:pPr>
    <w:rPr>
      <w:b/>
      <w:bCs/>
      <w:sz w:val="28"/>
      <w:szCs w:val="28"/>
    </w:rPr>
  </w:style>
  <w:style w:type="character" w:default="1" w:styleId="38">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2">
    <w:name w:val="Normal Indent"/>
    <w:basedOn w:val="1"/>
    <w:link w:val="75"/>
    <w:qFormat/>
    <w:uiPriority w:val="0"/>
    <w:pPr>
      <w:widowControl/>
      <w:ind w:firstLine="420"/>
      <w:jc w:val="left"/>
    </w:pPr>
    <w:rPr>
      <w:rFonts w:ascii="Arial" w:hAnsi="Arial" w:eastAsia="仿宋_GB2312"/>
      <w:kern w:val="0"/>
      <w:sz w:val="24"/>
      <w:szCs w:val="20"/>
    </w:rPr>
  </w:style>
  <w:style w:type="paragraph" w:styleId="8">
    <w:name w:val="caption"/>
    <w:basedOn w:val="1"/>
    <w:next w:val="1"/>
    <w:link w:val="62"/>
    <w:unhideWhenUsed/>
    <w:qFormat/>
    <w:locked/>
    <w:uiPriority w:val="0"/>
    <w:rPr>
      <w:rFonts w:ascii="Cambria" w:hAnsi="Cambria" w:eastAsia="黑体"/>
      <w:sz w:val="20"/>
      <w:szCs w:val="20"/>
    </w:rPr>
  </w:style>
  <w:style w:type="paragraph" w:styleId="9">
    <w:name w:val="Document Map"/>
    <w:basedOn w:val="1"/>
    <w:link w:val="138"/>
    <w:qFormat/>
    <w:uiPriority w:val="0"/>
    <w:pPr>
      <w:widowControl/>
      <w:shd w:val="clear" w:color="auto" w:fill="000080"/>
      <w:jc w:val="left"/>
    </w:pPr>
    <w:rPr>
      <w:sz w:val="24"/>
    </w:rPr>
  </w:style>
  <w:style w:type="paragraph" w:styleId="10">
    <w:name w:val="annotation text"/>
    <w:basedOn w:val="1"/>
    <w:next w:val="11"/>
    <w:link w:val="57"/>
    <w:qFormat/>
    <w:uiPriority w:val="99"/>
    <w:pPr>
      <w:jc w:val="left"/>
    </w:pPr>
    <w:rPr>
      <w:kern w:val="0"/>
      <w:sz w:val="20"/>
    </w:rPr>
  </w:style>
  <w:style w:type="paragraph" w:customStyle="1" w:styleId="11">
    <w:name w:val="0正文"/>
    <w:basedOn w:val="1"/>
    <w:qFormat/>
    <w:uiPriority w:val="0"/>
    <w:pPr>
      <w:spacing w:line="360" w:lineRule="auto"/>
      <w:ind w:firstLine="480"/>
    </w:pPr>
    <w:rPr>
      <w:kern w:val="0"/>
      <w:szCs w:val="21"/>
    </w:rPr>
  </w:style>
  <w:style w:type="paragraph" w:styleId="12">
    <w:name w:val="Body Text"/>
    <w:basedOn w:val="1"/>
    <w:next w:val="1"/>
    <w:link w:val="47"/>
    <w:qFormat/>
    <w:uiPriority w:val="0"/>
    <w:pPr>
      <w:widowControl/>
      <w:snapToGrid w:val="0"/>
      <w:spacing w:line="360" w:lineRule="auto"/>
      <w:ind w:firstLine="200" w:firstLineChars="200"/>
    </w:pPr>
    <w:rPr>
      <w:kern w:val="0"/>
      <w:sz w:val="24"/>
      <w:szCs w:val="18"/>
    </w:rPr>
  </w:style>
  <w:style w:type="paragraph" w:styleId="13">
    <w:name w:val="Body Text Indent"/>
    <w:basedOn w:val="1"/>
    <w:link w:val="59"/>
    <w:autoRedefine/>
    <w:qFormat/>
    <w:uiPriority w:val="0"/>
    <w:pPr>
      <w:spacing w:after="120"/>
      <w:ind w:left="420" w:leftChars="200"/>
    </w:pPr>
  </w:style>
  <w:style w:type="paragraph" w:styleId="14">
    <w:name w:val="List Continue"/>
    <w:basedOn w:val="1"/>
    <w:qFormat/>
    <w:uiPriority w:val="0"/>
    <w:pPr>
      <w:widowControl/>
      <w:spacing w:after="120"/>
      <w:ind w:left="420" w:leftChars="200"/>
      <w:jc w:val="left"/>
    </w:pPr>
    <w:rPr>
      <w:sz w:val="24"/>
    </w:rPr>
  </w:style>
  <w:style w:type="paragraph" w:styleId="15">
    <w:name w:val="toc 3"/>
    <w:basedOn w:val="1"/>
    <w:next w:val="1"/>
    <w:qFormat/>
    <w:locked/>
    <w:uiPriority w:val="0"/>
    <w:pPr>
      <w:widowControl/>
      <w:ind w:left="840" w:leftChars="400"/>
      <w:jc w:val="left"/>
    </w:pPr>
    <w:rPr>
      <w:sz w:val="24"/>
    </w:rPr>
  </w:style>
  <w:style w:type="paragraph" w:styleId="16">
    <w:name w:val="Plain Text"/>
    <w:basedOn w:val="1"/>
    <w:link w:val="104"/>
    <w:qFormat/>
    <w:uiPriority w:val="0"/>
    <w:pPr>
      <w:widowControl/>
      <w:jc w:val="left"/>
    </w:pPr>
    <w:rPr>
      <w:rFonts w:ascii="宋体" w:hAnsi="Courier New"/>
      <w:szCs w:val="20"/>
    </w:rPr>
  </w:style>
  <w:style w:type="paragraph" w:styleId="17">
    <w:name w:val="List Bullet 5"/>
    <w:basedOn w:val="1"/>
    <w:unhideWhenUsed/>
    <w:qFormat/>
    <w:uiPriority w:val="0"/>
    <w:pPr>
      <w:numPr>
        <w:ilvl w:val="0"/>
        <w:numId w:val="1"/>
      </w:numPr>
    </w:pPr>
  </w:style>
  <w:style w:type="paragraph" w:styleId="18">
    <w:name w:val="Date"/>
    <w:basedOn w:val="1"/>
    <w:next w:val="1"/>
    <w:link w:val="49"/>
    <w:autoRedefine/>
    <w:qFormat/>
    <w:uiPriority w:val="0"/>
    <w:pPr>
      <w:ind w:left="100" w:leftChars="2500"/>
    </w:pPr>
    <w:rPr>
      <w:kern w:val="0"/>
      <w:sz w:val="20"/>
    </w:rPr>
  </w:style>
  <w:style w:type="paragraph" w:styleId="19">
    <w:name w:val="Body Text Indent 2"/>
    <w:basedOn w:val="1"/>
    <w:link w:val="139"/>
    <w:qFormat/>
    <w:uiPriority w:val="0"/>
    <w:pPr>
      <w:widowControl/>
      <w:spacing w:after="120" w:line="480" w:lineRule="auto"/>
      <w:ind w:left="420" w:leftChars="200"/>
      <w:jc w:val="left"/>
    </w:pPr>
    <w:rPr>
      <w:sz w:val="24"/>
    </w:rPr>
  </w:style>
  <w:style w:type="paragraph" w:styleId="20">
    <w:name w:val="Balloon Text"/>
    <w:basedOn w:val="1"/>
    <w:link w:val="56"/>
    <w:qFormat/>
    <w:uiPriority w:val="0"/>
    <w:rPr>
      <w:sz w:val="18"/>
      <w:szCs w:val="18"/>
    </w:rPr>
  </w:style>
  <w:style w:type="paragraph" w:styleId="21">
    <w:name w:val="footer"/>
    <w:basedOn w:val="1"/>
    <w:link w:val="46"/>
    <w:qFormat/>
    <w:uiPriority w:val="99"/>
    <w:pPr>
      <w:tabs>
        <w:tab w:val="center" w:pos="4153"/>
        <w:tab w:val="right" w:pos="8306"/>
      </w:tabs>
      <w:snapToGrid w:val="0"/>
      <w:jc w:val="left"/>
    </w:pPr>
    <w:rPr>
      <w:sz w:val="18"/>
      <w:szCs w:val="18"/>
    </w:rPr>
  </w:style>
  <w:style w:type="paragraph" w:styleId="22">
    <w:name w:val="header"/>
    <w:basedOn w:val="1"/>
    <w:next w:val="1"/>
    <w:link w:val="45"/>
    <w:qFormat/>
    <w:uiPriority w:val="0"/>
    <w:pPr>
      <w:pBdr>
        <w:bottom w:val="single" w:color="auto" w:sz="6" w:space="1"/>
      </w:pBdr>
      <w:tabs>
        <w:tab w:val="center" w:pos="4153"/>
        <w:tab w:val="right" w:pos="8306"/>
      </w:tabs>
      <w:snapToGrid w:val="0"/>
      <w:jc w:val="center"/>
    </w:pPr>
    <w:rPr>
      <w:sz w:val="18"/>
      <w:szCs w:val="18"/>
    </w:rPr>
  </w:style>
  <w:style w:type="paragraph" w:styleId="23">
    <w:name w:val="toc 1"/>
    <w:basedOn w:val="1"/>
    <w:next w:val="1"/>
    <w:qFormat/>
    <w:locked/>
    <w:uiPriority w:val="0"/>
    <w:pPr>
      <w:widowControl/>
      <w:jc w:val="left"/>
    </w:pPr>
    <w:rPr>
      <w:sz w:val="24"/>
    </w:rPr>
  </w:style>
  <w:style w:type="paragraph" w:styleId="24">
    <w:name w:val="toc 4"/>
    <w:basedOn w:val="1"/>
    <w:next w:val="1"/>
    <w:qFormat/>
    <w:locked/>
    <w:uiPriority w:val="0"/>
    <w:pPr>
      <w:widowControl/>
      <w:ind w:left="1260" w:leftChars="600"/>
      <w:jc w:val="left"/>
    </w:pPr>
    <w:rPr>
      <w:sz w:val="24"/>
    </w:rPr>
  </w:style>
  <w:style w:type="paragraph" w:styleId="25">
    <w:name w:val="Subtitle"/>
    <w:basedOn w:val="1"/>
    <w:next w:val="1"/>
    <w:link w:val="133"/>
    <w:qFormat/>
    <w:locked/>
    <w:uiPriority w:val="0"/>
    <w:pPr>
      <w:widowControl/>
      <w:spacing w:before="240" w:after="60" w:line="312" w:lineRule="auto"/>
      <w:jc w:val="center"/>
      <w:outlineLvl w:val="1"/>
    </w:pPr>
    <w:rPr>
      <w:rFonts w:ascii="Cambria" w:hAnsi="Cambria"/>
      <w:b/>
      <w:bCs/>
      <w:kern w:val="28"/>
      <w:sz w:val="32"/>
      <w:szCs w:val="32"/>
    </w:rPr>
  </w:style>
  <w:style w:type="paragraph" w:styleId="26">
    <w:name w:val="List"/>
    <w:basedOn w:val="1"/>
    <w:qFormat/>
    <w:uiPriority w:val="0"/>
    <w:pPr>
      <w:widowControl/>
      <w:ind w:left="200" w:hanging="200" w:hangingChars="200"/>
      <w:jc w:val="left"/>
    </w:pPr>
    <w:rPr>
      <w:sz w:val="24"/>
    </w:rPr>
  </w:style>
  <w:style w:type="paragraph" w:styleId="27">
    <w:name w:val="Body Text Indent 3"/>
    <w:basedOn w:val="1"/>
    <w:link w:val="136"/>
    <w:qFormat/>
    <w:uiPriority w:val="0"/>
    <w:pPr>
      <w:widowControl/>
      <w:spacing w:after="120"/>
      <w:ind w:left="420" w:leftChars="200"/>
      <w:jc w:val="left"/>
    </w:pPr>
    <w:rPr>
      <w:sz w:val="16"/>
      <w:szCs w:val="16"/>
    </w:rPr>
  </w:style>
  <w:style w:type="paragraph" w:styleId="28">
    <w:name w:val="toc 2"/>
    <w:basedOn w:val="1"/>
    <w:next w:val="1"/>
    <w:qFormat/>
    <w:locked/>
    <w:uiPriority w:val="0"/>
    <w:pPr>
      <w:widowControl/>
      <w:ind w:left="420" w:leftChars="200"/>
      <w:jc w:val="left"/>
    </w:pPr>
    <w:rPr>
      <w:sz w:val="24"/>
    </w:rPr>
  </w:style>
  <w:style w:type="paragraph" w:styleId="29">
    <w:name w:val="Message Header"/>
    <w:basedOn w:val="1"/>
    <w:link w:val="132"/>
    <w:qFormat/>
    <w:uiPriority w:val="0"/>
    <w:pPr>
      <w:widowControl/>
      <w:pBdr>
        <w:top w:val="single" w:color="auto" w:sz="6" w:space="1"/>
        <w:left w:val="single" w:color="auto" w:sz="6" w:space="1"/>
        <w:bottom w:val="single" w:color="auto" w:sz="6" w:space="1"/>
        <w:right w:val="single" w:color="auto" w:sz="6" w:space="1"/>
      </w:pBdr>
      <w:shd w:val="pct20" w:color="auto" w:fill="auto"/>
      <w:ind w:left="1080" w:leftChars="500" w:hanging="1080" w:hangingChars="500"/>
      <w:jc w:val="left"/>
    </w:pPr>
    <w:rPr>
      <w:rFonts w:ascii="Cambria" w:hAnsi="Cambria"/>
      <w:sz w:val="24"/>
      <w:shd w:val="pct20" w:color="auto" w:fill="auto"/>
    </w:rPr>
  </w:style>
  <w:style w:type="paragraph" w:styleId="30">
    <w:name w:val="HTML Preformatted"/>
    <w:basedOn w:val="1"/>
    <w:link w:val="193"/>
    <w:unhideWhenUsed/>
    <w:qFormat/>
    <w:uiPriority w:val="99"/>
    <w:pPr>
      <w:widowControl/>
      <w:jc w:val="left"/>
    </w:pPr>
    <w:rPr>
      <w:rFonts w:ascii="Courier New" w:hAnsi="Courier New" w:cs="Courier New"/>
      <w:sz w:val="20"/>
      <w:szCs w:val="20"/>
    </w:rPr>
  </w:style>
  <w:style w:type="paragraph" w:styleId="31">
    <w:name w:val="Normal (Web)"/>
    <w:basedOn w:val="1"/>
    <w:link w:val="48"/>
    <w:qFormat/>
    <w:uiPriority w:val="99"/>
    <w:pPr>
      <w:widowControl/>
      <w:spacing w:before="100" w:beforeAutospacing="1" w:after="100" w:afterAutospacing="1"/>
      <w:jc w:val="left"/>
    </w:pPr>
    <w:rPr>
      <w:rFonts w:ascii="宋体" w:hAnsi="宋体"/>
      <w:kern w:val="0"/>
      <w:sz w:val="24"/>
    </w:rPr>
  </w:style>
  <w:style w:type="paragraph" w:styleId="32">
    <w:name w:val="Title"/>
    <w:basedOn w:val="1"/>
    <w:next w:val="1"/>
    <w:link w:val="214"/>
    <w:qFormat/>
    <w:locked/>
    <w:uiPriority w:val="10"/>
    <w:pPr>
      <w:spacing w:before="240" w:after="60"/>
      <w:jc w:val="center"/>
      <w:outlineLvl w:val="0"/>
    </w:pPr>
    <w:rPr>
      <w:rFonts w:ascii="Cambria" w:hAnsi="Cambria"/>
      <w:b/>
      <w:bCs/>
      <w:sz w:val="32"/>
      <w:szCs w:val="32"/>
    </w:rPr>
  </w:style>
  <w:style w:type="paragraph" w:styleId="33">
    <w:name w:val="annotation subject"/>
    <w:basedOn w:val="10"/>
    <w:next w:val="10"/>
    <w:link w:val="60"/>
    <w:qFormat/>
    <w:uiPriority w:val="0"/>
    <w:rPr>
      <w:b/>
      <w:bCs/>
    </w:rPr>
  </w:style>
  <w:style w:type="paragraph" w:styleId="34">
    <w:name w:val="Body Text First Indent"/>
    <w:basedOn w:val="12"/>
    <w:link w:val="64"/>
    <w:qFormat/>
    <w:uiPriority w:val="0"/>
    <w:pPr>
      <w:ind w:firstLine="510"/>
    </w:pPr>
    <w:rPr>
      <w:rFonts w:eastAsia="方正仿宋_GBK"/>
      <w:sz w:val="28"/>
      <w:lang w:val="zh-CN"/>
    </w:rPr>
  </w:style>
  <w:style w:type="paragraph" w:styleId="35">
    <w:name w:val="Body Text First Indent 2"/>
    <w:basedOn w:val="13"/>
    <w:link w:val="200"/>
    <w:unhideWhenUsed/>
    <w:qFormat/>
    <w:uiPriority w:val="0"/>
    <w:pPr>
      <w:widowControl/>
      <w:spacing w:line="360" w:lineRule="auto"/>
      <w:ind w:firstLine="420"/>
      <w:jc w:val="left"/>
    </w:pPr>
    <w:rPr>
      <w:sz w:val="24"/>
    </w:rPr>
  </w:style>
  <w:style w:type="table" w:styleId="37">
    <w:name w:val="Table Grid"/>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qFormat/>
    <w:locked/>
    <w:uiPriority w:val="0"/>
    <w:rPr>
      <w:b/>
      <w:bCs/>
    </w:rPr>
  </w:style>
  <w:style w:type="character" w:styleId="40">
    <w:name w:val="page number"/>
    <w:basedOn w:val="38"/>
    <w:qFormat/>
    <w:uiPriority w:val="0"/>
  </w:style>
  <w:style w:type="character" w:styleId="41">
    <w:name w:val="Emphasis"/>
    <w:qFormat/>
    <w:locked/>
    <w:uiPriority w:val="0"/>
    <w:rPr>
      <w:color w:val="CC0000"/>
    </w:rPr>
  </w:style>
  <w:style w:type="character" w:styleId="42">
    <w:name w:val="Hyperlink"/>
    <w:qFormat/>
    <w:uiPriority w:val="0"/>
    <w:rPr>
      <w:color w:val="0000FF"/>
      <w:u w:val="single"/>
    </w:rPr>
  </w:style>
  <w:style w:type="character" w:styleId="43">
    <w:name w:val="annotation reference"/>
    <w:basedOn w:val="38"/>
    <w:qFormat/>
    <w:uiPriority w:val="0"/>
    <w:rPr>
      <w:sz w:val="21"/>
    </w:rPr>
  </w:style>
  <w:style w:type="paragraph" w:customStyle="1" w:styleId="44">
    <w:name w:val="标准正文"/>
    <w:basedOn w:val="1"/>
    <w:qFormat/>
    <w:uiPriority w:val="0"/>
    <w:pPr>
      <w:widowControl/>
      <w:adjustRightInd w:val="0"/>
      <w:spacing w:line="460" w:lineRule="atLeast"/>
      <w:ind w:firstLine="567"/>
      <w:jc w:val="left"/>
    </w:pPr>
    <w:rPr>
      <w:kern w:val="28"/>
      <w:sz w:val="28"/>
      <w:szCs w:val="20"/>
    </w:rPr>
  </w:style>
  <w:style w:type="character" w:customStyle="1" w:styleId="45">
    <w:name w:val="页眉 字符"/>
    <w:basedOn w:val="38"/>
    <w:link w:val="22"/>
    <w:qFormat/>
    <w:locked/>
    <w:uiPriority w:val="0"/>
    <w:rPr>
      <w:rFonts w:cs="Times New Roman"/>
      <w:sz w:val="18"/>
      <w:szCs w:val="18"/>
    </w:rPr>
  </w:style>
  <w:style w:type="character" w:customStyle="1" w:styleId="46">
    <w:name w:val="页脚 字符"/>
    <w:basedOn w:val="38"/>
    <w:link w:val="21"/>
    <w:qFormat/>
    <w:locked/>
    <w:uiPriority w:val="99"/>
    <w:rPr>
      <w:rFonts w:cs="Times New Roman"/>
      <w:sz w:val="18"/>
      <w:szCs w:val="18"/>
    </w:rPr>
  </w:style>
  <w:style w:type="character" w:customStyle="1" w:styleId="47">
    <w:name w:val="正文文本 字符"/>
    <w:link w:val="12"/>
    <w:qFormat/>
    <w:locked/>
    <w:uiPriority w:val="0"/>
    <w:rPr>
      <w:sz w:val="24"/>
      <w:szCs w:val="18"/>
    </w:rPr>
  </w:style>
  <w:style w:type="character" w:customStyle="1" w:styleId="48">
    <w:name w:val="普通(网站) 字符"/>
    <w:link w:val="31"/>
    <w:qFormat/>
    <w:locked/>
    <w:uiPriority w:val="0"/>
    <w:rPr>
      <w:rFonts w:ascii="宋体" w:hAnsi="宋体" w:eastAsia="宋体"/>
      <w:sz w:val="24"/>
    </w:rPr>
  </w:style>
  <w:style w:type="character" w:customStyle="1" w:styleId="49">
    <w:name w:val="日期 字符1"/>
    <w:link w:val="18"/>
    <w:qFormat/>
    <w:locked/>
    <w:uiPriority w:val="0"/>
    <w:rPr>
      <w:rFonts w:ascii="Times New Roman" w:hAnsi="Times New Roman" w:eastAsia="宋体"/>
      <w:sz w:val="24"/>
    </w:rPr>
  </w:style>
  <w:style w:type="character" w:customStyle="1" w:styleId="50">
    <w:name w:val="日期 字符"/>
    <w:basedOn w:val="38"/>
    <w:semiHidden/>
    <w:qFormat/>
    <w:uiPriority w:val="0"/>
    <w:rPr>
      <w:rFonts w:ascii="Times New Roman" w:hAnsi="Times New Roman" w:eastAsia="宋体" w:cs="Times New Roman"/>
      <w:sz w:val="24"/>
      <w:szCs w:val="24"/>
    </w:rPr>
  </w:style>
  <w:style w:type="character" w:customStyle="1" w:styleId="51">
    <w:name w:val="正文文本 字符1"/>
    <w:basedOn w:val="38"/>
    <w:semiHidden/>
    <w:qFormat/>
    <w:uiPriority w:val="0"/>
    <w:rPr>
      <w:rFonts w:ascii="Times New Roman" w:hAnsi="Times New Roman" w:eastAsia="宋体" w:cs="Times New Roman"/>
      <w:sz w:val="24"/>
      <w:szCs w:val="24"/>
    </w:rPr>
  </w:style>
  <w:style w:type="paragraph" w:customStyle="1" w:styleId="5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53">
    <w:name w:val="表格 Char"/>
    <w:link w:val="54"/>
    <w:autoRedefine/>
    <w:qFormat/>
    <w:locked/>
    <w:uiPriority w:val="0"/>
    <w:rPr>
      <w:sz w:val="21"/>
      <w:szCs w:val="21"/>
    </w:rPr>
  </w:style>
  <w:style w:type="paragraph" w:customStyle="1" w:styleId="54">
    <w:name w:val="表格"/>
    <w:basedOn w:val="55"/>
    <w:next w:val="1"/>
    <w:link w:val="53"/>
    <w:qFormat/>
    <w:uiPriority w:val="0"/>
    <w:pPr>
      <w:adjustRightInd w:val="0"/>
      <w:snapToGrid w:val="0"/>
    </w:pPr>
    <w:rPr>
      <w:kern w:val="0"/>
      <w:szCs w:val="21"/>
    </w:rPr>
  </w:style>
  <w:style w:type="paragraph" w:customStyle="1" w:styleId="55">
    <w:name w:val="表格样式1"/>
    <w:basedOn w:val="1"/>
    <w:qFormat/>
    <w:uiPriority w:val="99"/>
    <w:pPr>
      <w:autoSpaceDE w:val="0"/>
      <w:autoSpaceDN w:val="0"/>
      <w:spacing w:line="20" w:lineRule="atLeast"/>
      <w:jc w:val="center"/>
      <w:textAlignment w:val="baseline"/>
    </w:pPr>
    <w:rPr>
      <w:szCs w:val="20"/>
    </w:rPr>
  </w:style>
  <w:style w:type="character" w:customStyle="1" w:styleId="56">
    <w:name w:val="批注框文本 字符"/>
    <w:basedOn w:val="38"/>
    <w:link w:val="20"/>
    <w:semiHidden/>
    <w:qFormat/>
    <w:locked/>
    <w:uiPriority w:val="0"/>
    <w:rPr>
      <w:rFonts w:ascii="Times New Roman" w:hAnsi="Times New Roman" w:eastAsia="宋体" w:cs="Times New Roman"/>
      <w:sz w:val="18"/>
      <w:szCs w:val="18"/>
    </w:rPr>
  </w:style>
  <w:style w:type="character" w:customStyle="1" w:styleId="57">
    <w:name w:val="批注文字 字符"/>
    <w:link w:val="10"/>
    <w:qFormat/>
    <w:locked/>
    <w:uiPriority w:val="99"/>
    <w:rPr>
      <w:rFonts w:ascii="Times New Roman" w:hAnsi="Times New Roman" w:eastAsia="宋体"/>
      <w:sz w:val="24"/>
    </w:rPr>
  </w:style>
  <w:style w:type="character" w:customStyle="1" w:styleId="58">
    <w:name w:val="批注文字 字符1"/>
    <w:basedOn w:val="38"/>
    <w:semiHidden/>
    <w:qFormat/>
    <w:uiPriority w:val="0"/>
    <w:rPr>
      <w:rFonts w:ascii="Times New Roman" w:hAnsi="Times New Roman" w:eastAsia="宋体" w:cs="Times New Roman"/>
      <w:sz w:val="24"/>
      <w:szCs w:val="24"/>
    </w:rPr>
  </w:style>
  <w:style w:type="character" w:customStyle="1" w:styleId="59">
    <w:name w:val="正文文本缩进 字符"/>
    <w:basedOn w:val="38"/>
    <w:link w:val="13"/>
    <w:qFormat/>
    <w:locked/>
    <w:uiPriority w:val="0"/>
    <w:rPr>
      <w:rFonts w:ascii="Times New Roman" w:hAnsi="Times New Roman" w:eastAsia="宋体" w:cs="Times New Roman"/>
      <w:sz w:val="24"/>
      <w:szCs w:val="24"/>
    </w:rPr>
  </w:style>
  <w:style w:type="character" w:customStyle="1" w:styleId="60">
    <w:name w:val="批注主题 字符"/>
    <w:basedOn w:val="57"/>
    <w:link w:val="33"/>
    <w:autoRedefine/>
    <w:qFormat/>
    <w:locked/>
    <w:uiPriority w:val="0"/>
    <w:rPr>
      <w:rFonts w:ascii="Times New Roman" w:hAnsi="Times New Roman" w:eastAsia="宋体" w:cs="Times New Roman"/>
      <w:b/>
      <w:bCs/>
      <w:kern w:val="2"/>
      <w:sz w:val="24"/>
      <w:szCs w:val="24"/>
    </w:rPr>
  </w:style>
  <w:style w:type="character" w:customStyle="1" w:styleId="61">
    <w:name w:val="普通(网站) Char"/>
    <w:qFormat/>
    <w:locked/>
    <w:uiPriority w:val="0"/>
    <w:rPr>
      <w:rFonts w:ascii="宋体" w:hAnsi="宋体" w:eastAsia="宋体"/>
      <w:sz w:val="24"/>
    </w:rPr>
  </w:style>
  <w:style w:type="character" w:customStyle="1" w:styleId="62">
    <w:name w:val="题注 字符"/>
    <w:link w:val="8"/>
    <w:autoRedefine/>
    <w:qFormat/>
    <w:uiPriority w:val="99"/>
    <w:rPr>
      <w:rFonts w:ascii="Cambria" w:hAnsi="Cambria" w:eastAsia="黑体"/>
      <w:kern w:val="2"/>
    </w:rPr>
  </w:style>
  <w:style w:type="paragraph" w:styleId="63">
    <w:name w:val="List Paragraph"/>
    <w:basedOn w:val="1"/>
    <w:link w:val="92"/>
    <w:qFormat/>
    <w:uiPriority w:val="0"/>
    <w:pPr>
      <w:widowControl/>
      <w:jc w:val="center"/>
    </w:pPr>
    <w:rPr>
      <w:bCs/>
      <w:kern w:val="0"/>
      <w:szCs w:val="20"/>
    </w:rPr>
  </w:style>
  <w:style w:type="character" w:customStyle="1" w:styleId="64">
    <w:name w:val="正文文本首行缩进 字符"/>
    <w:basedOn w:val="47"/>
    <w:link w:val="34"/>
    <w:autoRedefine/>
    <w:qFormat/>
    <w:uiPriority w:val="0"/>
    <w:rPr>
      <w:rFonts w:eastAsia="方正仿宋_GBK"/>
      <w:kern w:val="2"/>
      <w:sz w:val="28"/>
      <w:szCs w:val="24"/>
      <w:lang w:val="zh-CN"/>
    </w:rPr>
  </w:style>
  <w:style w:type="character" w:customStyle="1" w:styleId="65">
    <w:name w:val="正文首行缩进 Char"/>
    <w:basedOn w:val="47"/>
    <w:autoRedefine/>
    <w:semiHidden/>
    <w:qFormat/>
    <w:uiPriority w:val="99"/>
    <w:rPr>
      <w:rFonts w:ascii="Times New Roman" w:hAnsi="Times New Roman" w:eastAsia="宋体" w:cs="Times New Roman"/>
      <w:sz w:val="18"/>
      <w:szCs w:val="24"/>
    </w:rPr>
  </w:style>
  <w:style w:type="paragraph" w:customStyle="1" w:styleId="66">
    <w:name w:val="调查表正文"/>
    <w:basedOn w:val="1"/>
    <w:link w:val="67"/>
    <w:autoRedefine/>
    <w:qFormat/>
    <w:uiPriority w:val="0"/>
    <w:pPr>
      <w:adjustRightInd w:val="0"/>
      <w:snapToGrid w:val="0"/>
      <w:spacing w:line="360" w:lineRule="auto"/>
      <w:ind w:firstLine="200" w:firstLineChars="200"/>
    </w:pPr>
    <w:rPr>
      <w:bCs/>
      <w:color w:val="000000"/>
      <w:sz w:val="24"/>
    </w:rPr>
  </w:style>
  <w:style w:type="character" w:customStyle="1" w:styleId="67">
    <w:name w:val="调查表正文 Char"/>
    <w:basedOn w:val="38"/>
    <w:link w:val="66"/>
    <w:autoRedefine/>
    <w:qFormat/>
    <w:uiPriority w:val="0"/>
    <w:rPr>
      <w:bCs/>
      <w:color w:val="000000"/>
      <w:kern w:val="2"/>
      <w:sz w:val="24"/>
      <w:szCs w:val="24"/>
    </w:rPr>
  </w:style>
  <w:style w:type="table" w:customStyle="1" w:styleId="68">
    <w:name w:val="网格型刘1"/>
    <w:basedOn w:val="3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9">
    <w:name w:val="A正文"/>
    <w:basedOn w:val="12"/>
    <w:link w:val="70"/>
    <w:autoRedefine/>
    <w:qFormat/>
    <w:uiPriority w:val="0"/>
    <w:pPr>
      <w:adjustRightInd w:val="0"/>
    </w:pPr>
  </w:style>
  <w:style w:type="character" w:customStyle="1" w:styleId="70">
    <w:name w:val="A正文 字符"/>
    <w:basedOn w:val="38"/>
    <w:link w:val="69"/>
    <w:autoRedefine/>
    <w:qFormat/>
    <w:uiPriority w:val="0"/>
    <w:rPr>
      <w:sz w:val="24"/>
      <w:szCs w:val="24"/>
    </w:rPr>
  </w:style>
  <w:style w:type="paragraph" w:customStyle="1" w:styleId="71">
    <w:name w:val="A宋体新罗马小四"/>
    <w:basedOn w:val="1"/>
    <w:link w:val="72"/>
    <w:autoRedefine/>
    <w:qFormat/>
    <w:uiPriority w:val="0"/>
    <w:pPr>
      <w:widowControl/>
      <w:spacing w:line="360" w:lineRule="auto"/>
      <w:ind w:firstLine="200" w:firstLineChars="200"/>
    </w:pPr>
    <w:rPr>
      <w:rFonts w:cs="宋体"/>
      <w:bCs/>
      <w:color w:val="000000"/>
      <w:kern w:val="0"/>
      <w:sz w:val="24"/>
    </w:rPr>
  </w:style>
  <w:style w:type="character" w:customStyle="1" w:styleId="72">
    <w:name w:val="A宋体新罗马小四 字符"/>
    <w:basedOn w:val="38"/>
    <w:link w:val="71"/>
    <w:qFormat/>
    <w:uiPriority w:val="0"/>
    <w:rPr>
      <w:rFonts w:cs="宋体"/>
      <w:bCs/>
      <w:color w:val="000000"/>
      <w:sz w:val="24"/>
      <w:szCs w:val="24"/>
    </w:rPr>
  </w:style>
  <w:style w:type="character" w:customStyle="1" w:styleId="73">
    <w:name w:val="标题 3 字符"/>
    <w:basedOn w:val="38"/>
    <w:link w:val="5"/>
    <w:autoRedefine/>
    <w:qFormat/>
    <w:uiPriority w:val="0"/>
    <w:rPr>
      <w:b/>
      <w:bCs/>
      <w:kern w:val="2"/>
      <w:sz w:val="32"/>
      <w:szCs w:val="32"/>
    </w:rPr>
  </w:style>
  <w:style w:type="character" w:customStyle="1" w:styleId="74">
    <w:name w:val="标题 4 字符"/>
    <w:basedOn w:val="38"/>
    <w:link w:val="6"/>
    <w:autoRedefine/>
    <w:qFormat/>
    <w:uiPriority w:val="0"/>
    <w:rPr>
      <w:rFonts w:asciiTheme="majorHAnsi" w:hAnsiTheme="majorHAnsi" w:eastAsiaTheme="majorEastAsia" w:cstheme="majorBidi"/>
      <w:b/>
      <w:bCs/>
      <w:kern w:val="2"/>
      <w:sz w:val="28"/>
      <w:szCs w:val="28"/>
    </w:rPr>
  </w:style>
  <w:style w:type="character" w:customStyle="1" w:styleId="75">
    <w:name w:val="正文缩进 字符"/>
    <w:link w:val="2"/>
    <w:autoRedefine/>
    <w:qFormat/>
    <w:uiPriority w:val="0"/>
    <w:rPr>
      <w:rFonts w:ascii="Arial" w:hAnsi="Arial" w:eastAsia="仿宋_GB2312"/>
      <w:sz w:val="24"/>
    </w:rPr>
  </w:style>
  <w:style w:type="paragraph" w:customStyle="1" w:styleId="76">
    <w:name w:val="Default"/>
    <w:autoRedefine/>
    <w:qFormat/>
    <w:uiPriority w:val="0"/>
    <w:pPr>
      <w:widowControl w:val="0"/>
      <w:autoSpaceDE w:val="0"/>
      <w:autoSpaceDN w:val="0"/>
      <w:adjustRightInd w:val="0"/>
    </w:pPr>
    <w:rPr>
      <w:rFonts w:ascii="宋体..輀." w:hAnsi="Times New Roman" w:eastAsia="宋体..輀." w:cs="宋体..輀."/>
      <w:color w:val="000000"/>
      <w:sz w:val="24"/>
      <w:szCs w:val="24"/>
      <w:lang w:val="en-US" w:eastAsia="zh-CN" w:bidi="ar-SA"/>
    </w:rPr>
  </w:style>
  <w:style w:type="character" w:customStyle="1" w:styleId="77">
    <w:name w:val="font11"/>
    <w:basedOn w:val="38"/>
    <w:autoRedefine/>
    <w:qFormat/>
    <w:uiPriority w:val="0"/>
    <w:rPr>
      <w:rFonts w:hint="default" w:ascii="Times New Roman" w:hAnsi="Times New Roman" w:cs="Times New Roman"/>
      <w:color w:val="000000"/>
      <w:sz w:val="21"/>
      <w:szCs w:val="21"/>
      <w:u w:val="none"/>
    </w:rPr>
  </w:style>
  <w:style w:type="character" w:customStyle="1" w:styleId="78">
    <w:name w:val="font21"/>
    <w:basedOn w:val="38"/>
    <w:autoRedefine/>
    <w:qFormat/>
    <w:uiPriority w:val="0"/>
    <w:rPr>
      <w:rFonts w:hint="default" w:ascii="Times New Roman" w:hAnsi="Times New Roman" w:cs="Times New Roman"/>
      <w:color w:val="000000"/>
      <w:sz w:val="21"/>
      <w:szCs w:val="21"/>
      <w:u w:val="none"/>
      <w:vertAlign w:val="subscript"/>
    </w:rPr>
  </w:style>
  <w:style w:type="paragraph" w:customStyle="1" w:styleId="79">
    <w:name w:val="糖正文"/>
    <w:basedOn w:val="1"/>
    <w:autoRedefine/>
    <w:qFormat/>
    <w:uiPriority w:val="0"/>
    <w:pPr>
      <w:widowControl/>
      <w:autoSpaceDE w:val="0"/>
      <w:autoSpaceDN w:val="0"/>
      <w:spacing w:line="360" w:lineRule="auto"/>
      <w:ind w:firstLine="200" w:firstLineChars="200"/>
      <w:jc w:val="left"/>
    </w:pPr>
    <w:rPr>
      <w:sz w:val="24"/>
    </w:rPr>
  </w:style>
  <w:style w:type="paragraph" w:customStyle="1" w:styleId="80">
    <w:name w:val="表格内容"/>
    <w:basedOn w:val="81"/>
    <w:next w:val="3"/>
    <w:autoRedefine/>
    <w:qFormat/>
    <w:uiPriority w:val="0"/>
    <w:pPr>
      <w:widowControl w:val="0"/>
    </w:pPr>
    <w:rPr>
      <w:rFonts w:ascii="Times New Roman" w:hAnsi="Times New Roman" w:eastAsia="宋体"/>
      <w:b/>
      <w:sz w:val="18"/>
      <w:szCs w:val="22"/>
    </w:rPr>
  </w:style>
  <w:style w:type="paragraph" w:customStyle="1" w:styleId="81">
    <w:name w:val="表格标题"/>
    <w:basedOn w:val="8"/>
    <w:next w:val="1"/>
    <w:autoRedefine/>
    <w:qFormat/>
    <w:uiPriority w:val="0"/>
    <w:pPr>
      <w:widowControl/>
      <w:adjustRightInd w:val="0"/>
      <w:snapToGrid w:val="0"/>
      <w:jc w:val="center"/>
    </w:pPr>
    <w:rPr>
      <w:sz w:val="24"/>
    </w:rPr>
  </w:style>
  <w:style w:type="paragraph" w:customStyle="1" w:styleId="82">
    <w:name w:val="报告表格"/>
    <w:basedOn w:val="1"/>
    <w:autoRedefine/>
    <w:qFormat/>
    <w:uiPriority w:val="0"/>
    <w:pPr>
      <w:autoSpaceDE w:val="0"/>
      <w:autoSpaceDN w:val="0"/>
      <w:adjustRightInd w:val="0"/>
      <w:jc w:val="center"/>
      <w:textAlignment w:val="baseline"/>
    </w:pPr>
    <w:rPr>
      <w:kern w:val="0"/>
      <w:szCs w:val="20"/>
      <w:lang w:val="zh-CN"/>
    </w:rPr>
  </w:style>
  <w:style w:type="paragraph" w:customStyle="1" w:styleId="83">
    <w:name w:val="Normal_0_0"/>
    <w:autoRedefine/>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84">
    <w:name w:val="图片标注样式"/>
    <w:basedOn w:val="1"/>
    <w:link w:val="85"/>
    <w:autoRedefine/>
    <w:qFormat/>
    <w:uiPriority w:val="0"/>
    <w:pPr>
      <w:jc w:val="left"/>
    </w:pPr>
    <w:rPr>
      <w:color w:val="FF0000"/>
      <w:sz w:val="13"/>
    </w:rPr>
  </w:style>
  <w:style w:type="character" w:customStyle="1" w:styleId="85">
    <w:name w:val="图片标注样式 字符"/>
    <w:basedOn w:val="38"/>
    <w:link w:val="84"/>
    <w:autoRedefine/>
    <w:qFormat/>
    <w:uiPriority w:val="0"/>
    <w:rPr>
      <w:color w:val="FF0000"/>
      <w:kern w:val="2"/>
      <w:sz w:val="13"/>
      <w:szCs w:val="24"/>
    </w:rPr>
  </w:style>
  <w:style w:type="paragraph" w:customStyle="1" w:styleId="86">
    <w:name w:val="G-表正文"/>
    <w:basedOn w:val="1"/>
    <w:link w:val="87"/>
    <w:autoRedefine/>
    <w:qFormat/>
    <w:uiPriority w:val="0"/>
    <w:pPr>
      <w:adjustRightInd w:val="0"/>
      <w:snapToGrid w:val="0"/>
      <w:spacing w:line="360" w:lineRule="auto"/>
      <w:ind w:firstLine="200" w:firstLineChars="200"/>
    </w:pPr>
    <w:rPr>
      <w:color w:val="4472C4" w:themeColor="accent1"/>
      <w:kern w:val="0"/>
      <w:sz w:val="24"/>
      <w14:textFill>
        <w14:solidFill>
          <w14:schemeClr w14:val="accent1"/>
        </w14:solidFill>
      </w14:textFill>
    </w:rPr>
  </w:style>
  <w:style w:type="character" w:customStyle="1" w:styleId="87">
    <w:name w:val="G-表正文 字符"/>
    <w:basedOn w:val="38"/>
    <w:link w:val="86"/>
    <w:autoRedefine/>
    <w:qFormat/>
    <w:uiPriority w:val="0"/>
    <w:rPr>
      <w:color w:val="4472C4" w:themeColor="accent1"/>
      <w:sz w:val="24"/>
      <w:szCs w:val="24"/>
      <w14:textFill>
        <w14:solidFill>
          <w14:schemeClr w14:val="accent1"/>
        </w14:solidFill>
      </w14:textFill>
    </w:rPr>
  </w:style>
  <w:style w:type="character" w:customStyle="1" w:styleId="88">
    <w:name w:val="font61"/>
    <w:basedOn w:val="38"/>
    <w:qFormat/>
    <w:uiPriority w:val="0"/>
    <w:rPr>
      <w:rFonts w:hint="default" w:ascii="Times New Roman" w:hAnsi="Times New Roman" w:cs="Times New Roman"/>
      <w:b/>
      <w:bCs/>
      <w:color w:val="FF0000"/>
      <w:sz w:val="21"/>
      <w:szCs w:val="21"/>
      <w:u w:val="none"/>
      <w:vertAlign w:val="superscript"/>
    </w:rPr>
  </w:style>
  <w:style w:type="character" w:customStyle="1" w:styleId="89">
    <w:name w:val="font01"/>
    <w:basedOn w:val="38"/>
    <w:autoRedefine/>
    <w:qFormat/>
    <w:uiPriority w:val="0"/>
    <w:rPr>
      <w:rFonts w:hint="default" w:ascii="Times New Roman" w:hAnsi="Times New Roman" w:cs="Times New Roman"/>
      <w:color w:val="FF0000"/>
      <w:sz w:val="21"/>
      <w:szCs w:val="21"/>
      <w:u w:val="none"/>
    </w:rPr>
  </w:style>
  <w:style w:type="character" w:customStyle="1" w:styleId="90">
    <w:name w:val="font51"/>
    <w:basedOn w:val="38"/>
    <w:qFormat/>
    <w:uiPriority w:val="0"/>
    <w:rPr>
      <w:rFonts w:hint="default" w:ascii="Times New Roman" w:hAnsi="Times New Roman" w:cs="Times New Roman"/>
      <w:color w:val="FF0000"/>
      <w:sz w:val="21"/>
      <w:szCs w:val="21"/>
      <w:u w:val="none"/>
      <w:vertAlign w:val="superscript"/>
    </w:rPr>
  </w:style>
  <w:style w:type="paragraph" w:customStyle="1" w:styleId="91">
    <w:name w:val="样式1"/>
    <w:basedOn w:val="63"/>
    <w:link w:val="93"/>
    <w:autoRedefine/>
    <w:qFormat/>
    <w:uiPriority w:val="0"/>
    <w:pPr>
      <w:numPr>
        <w:ilvl w:val="0"/>
        <w:numId w:val="2"/>
      </w:numPr>
      <w:adjustRightInd w:val="0"/>
      <w:snapToGrid w:val="0"/>
    </w:pPr>
    <w:rPr>
      <w:b/>
      <w:bCs w:val="0"/>
      <w:color w:val="4472C4" w:themeColor="accent1"/>
      <w14:textFill>
        <w14:solidFill>
          <w14:schemeClr w14:val="accent1"/>
        </w14:solidFill>
      </w14:textFill>
    </w:rPr>
  </w:style>
  <w:style w:type="character" w:customStyle="1" w:styleId="92">
    <w:name w:val="列表段落 字符"/>
    <w:basedOn w:val="38"/>
    <w:link w:val="63"/>
    <w:autoRedefine/>
    <w:qFormat/>
    <w:uiPriority w:val="0"/>
    <w:rPr>
      <w:bCs/>
      <w:sz w:val="21"/>
    </w:rPr>
  </w:style>
  <w:style w:type="character" w:customStyle="1" w:styleId="93">
    <w:name w:val="样式1 字符"/>
    <w:basedOn w:val="92"/>
    <w:link w:val="91"/>
    <w:autoRedefine/>
    <w:qFormat/>
    <w:uiPriority w:val="0"/>
    <w:rPr>
      <w:b/>
      <w:bCs w:val="0"/>
      <w:color w:val="4472C4" w:themeColor="accent1"/>
      <w:sz w:val="21"/>
      <w14:textFill>
        <w14:solidFill>
          <w14:schemeClr w14:val="accent1"/>
        </w14:solidFill>
      </w14:textFill>
    </w:rPr>
  </w:style>
  <w:style w:type="paragraph" w:customStyle="1" w:styleId="94">
    <w:name w:val="三线一单正文"/>
    <w:basedOn w:val="63"/>
    <w:link w:val="95"/>
    <w:qFormat/>
    <w:uiPriority w:val="0"/>
    <w:pPr>
      <w:numPr>
        <w:ilvl w:val="0"/>
        <w:numId w:val="3"/>
      </w:numPr>
      <w:jc w:val="both"/>
    </w:pPr>
    <w:rPr>
      <w:szCs w:val="21"/>
    </w:rPr>
  </w:style>
  <w:style w:type="character" w:customStyle="1" w:styleId="95">
    <w:name w:val="三线一单正文 字符"/>
    <w:basedOn w:val="92"/>
    <w:link w:val="94"/>
    <w:autoRedefine/>
    <w:qFormat/>
    <w:uiPriority w:val="0"/>
    <w:rPr>
      <w:sz w:val="21"/>
      <w:szCs w:val="21"/>
    </w:rPr>
  </w:style>
  <w:style w:type="paragraph" w:customStyle="1" w:styleId="96">
    <w:name w:val="Other|1"/>
    <w:basedOn w:val="1"/>
    <w:link w:val="97"/>
    <w:autoRedefine/>
    <w:qFormat/>
    <w:uiPriority w:val="0"/>
    <w:pPr>
      <w:spacing w:line="360" w:lineRule="auto"/>
      <w:ind w:firstLine="200" w:firstLineChars="200"/>
      <w:jc w:val="center"/>
    </w:pPr>
    <w:rPr>
      <w:rFonts w:ascii="宋体" w:hAnsi="宋体" w:cs="宋体"/>
      <w:sz w:val="19"/>
      <w:szCs w:val="19"/>
      <w:lang w:val="zh-TW" w:eastAsia="zh-TW" w:bidi="zh-TW"/>
    </w:rPr>
  </w:style>
  <w:style w:type="character" w:customStyle="1" w:styleId="97">
    <w:name w:val="Other|1_"/>
    <w:link w:val="96"/>
    <w:qFormat/>
    <w:uiPriority w:val="0"/>
    <w:rPr>
      <w:rFonts w:ascii="宋体" w:hAnsi="宋体" w:cs="宋体"/>
      <w:kern w:val="2"/>
      <w:sz w:val="19"/>
      <w:szCs w:val="19"/>
      <w:lang w:val="zh-TW" w:eastAsia="zh-TW" w:bidi="zh-TW"/>
    </w:rPr>
  </w:style>
  <w:style w:type="character" w:customStyle="1" w:styleId="98">
    <w:name w:val="标题 2 字符"/>
    <w:basedOn w:val="38"/>
    <w:link w:val="4"/>
    <w:autoRedefine/>
    <w:qFormat/>
    <w:uiPriority w:val="0"/>
    <w:rPr>
      <w:rFonts w:ascii="Arial" w:hAnsi="Arial" w:eastAsia="黑体"/>
      <w:b/>
      <w:bCs/>
      <w:kern w:val="2"/>
      <w:sz w:val="32"/>
      <w:szCs w:val="32"/>
    </w:rPr>
  </w:style>
  <w:style w:type="character" w:customStyle="1" w:styleId="99">
    <w:name w:val="标题 5 字符"/>
    <w:basedOn w:val="38"/>
    <w:link w:val="7"/>
    <w:semiHidden/>
    <w:qFormat/>
    <w:uiPriority w:val="0"/>
    <w:rPr>
      <w:b/>
      <w:bCs/>
      <w:kern w:val="2"/>
      <w:sz w:val="28"/>
      <w:szCs w:val="28"/>
    </w:rPr>
  </w:style>
  <w:style w:type="character" w:customStyle="1" w:styleId="100">
    <w:name w:val="我的正文 Char Char"/>
    <w:link w:val="101"/>
    <w:autoRedefine/>
    <w:qFormat/>
    <w:uiPriority w:val="0"/>
    <w:rPr>
      <w:rFonts w:ascii="宋体" w:hAnsi="宋体" w:cs="宋体"/>
      <w:kern w:val="2"/>
      <w:sz w:val="24"/>
    </w:rPr>
  </w:style>
  <w:style w:type="paragraph" w:customStyle="1" w:styleId="101">
    <w:name w:val="我的正文"/>
    <w:basedOn w:val="1"/>
    <w:link w:val="100"/>
    <w:autoRedefine/>
    <w:qFormat/>
    <w:uiPriority w:val="0"/>
    <w:pPr>
      <w:widowControl/>
      <w:ind w:firstLine="420"/>
      <w:jc w:val="left"/>
    </w:pPr>
    <w:rPr>
      <w:rFonts w:ascii="宋体" w:hAnsi="宋体" w:cs="宋体"/>
      <w:sz w:val="24"/>
      <w:szCs w:val="20"/>
    </w:rPr>
  </w:style>
  <w:style w:type="character" w:customStyle="1" w:styleId="102">
    <w:name w:val="主要文字 Char Char Char"/>
    <w:autoRedefine/>
    <w:qFormat/>
    <w:uiPriority w:val="0"/>
    <w:rPr>
      <w:rFonts w:ascii="宋体" w:hAnsi="宋体" w:eastAsia="宋体" w:cs="宋体"/>
      <w:kern w:val="2"/>
      <w:sz w:val="28"/>
      <w:lang w:val="en-US" w:eastAsia="zh-CN" w:bidi="ar-SA"/>
    </w:rPr>
  </w:style>
  <w:style w:type="character" w:customStyle="1" w:styleId="103">
    <w:name w:val="正文缩进 Char1"/>
    <w:autoRedefine/>
    <w:qFormat/>
    <w:uiPriority w:val="0"/>
    <w:rPr>
      <w:rFonts w:ascii="宋体" w:hAnsi="宋体" w:eastAsia="宋体" w:cs="宋体"/>
      <w:kern w:val="2"/>
      <w:sz w:val="28"/>
      <w:lang w:val="en-US" w:eastAsia="zh-CN" w:bidi="ar-SA"/>
    </w:rPr>
  </w:style>
  <w:style w:type="character" w:customStyle="1" w:styleId="104">
    <w:name w:val="纯文本 字符"/>
    <w:link w:val="16"/>
    <w:autoRedefine/>
    <w:qFormat/>
    <w:uiPriority w:val="0"/>
    <w:rPr>
      <w:rFonts w:ascii="宋体" w:hAnsi="Courier New"/>
      <w:kern w:val="2"/>
      <w:sz w:val="21"/>
    </w:rPr>
  </w:style>
  <w:style w:type="character" w:customStyle="1" w:styleId="105">
    <w:name w:val="特点 Char1"/>
    <w:qFormat/>
    <w:uiPriority w:val="0"/>
    <w:rPr>
      <w:rFonts w:ascii="宋体" w:hAnsi="宋体" w:eastAsia="宋体" w:cs="宋体"/>
      <w:kern w:val="2"/>
      <w:sz w:val="28"/>
      <w:lang w:val="en-US" w:eastAsia="zh-CN" w:bidi="ar-SA"/>
    </w:rPr>
  </w:style>
  <w:style w:type="character" w:customStyle="1" w:styleId="106">
    <w:name w:val="主要文字 Char Char"/>
    <w:link w:val="107"/>
    <w:autoRedefine/>
    <w:qFormat/>
    <w:uiPriority w:val="0"/>
    <w:rPr>
      <w:rFonts w:cs="宋体"/>
      <w:kern w:val="24"/>
      <w:sz w:val="28"/>
      <w:szCs w:val="24"/>
    </w:rPr>
  </w:style>
  <w:style w:type="paragraph" w:customStyle="1" w:styleId="107">
    <w:name w:val="主要文字"/>
    <w:basedOn w:val="1"/>
    <w:link w:val="106"/>
    <w:autoRedefine/>
    <w:qFormat/>
    <w:uiPriority w:val="0"/>
    <w:pPr>
      <w:widowControl/>
      <w:spacing w:line="560" w:lineRule="exact"/>
      <w:jc w:val="left"/>
    </w:pPr>
    <w:rPr>
      <w:rFonts w:cs="宋体"/>
      <w:kern w:val="24"/>
      <w:sz w:val="28"/>
    </w:rPr>
  </w:style>
  <w:style w:type="character" w:customStyle="1" w:styleId="108">
    <w:name w:val="样式 正文文本缩进 + Times New Roman Char Char"/>
    <w:link w:val="109"/>
    <w:autoRedefine/>
    <w:qFormat/>
    <w:uiPriority w:val="0"/>
    <w:rPr>
      <w:rFonts w:ascii="宋体" w:hAnsi="宋体" w:cs="宋体"/>
      <w:kern w:val="2"/>
      <w:sz w:val="24"/>
      <w:szCs w:val="24"/>
    </w:rPr>
  </w:style>
  <w:style w:type="paragraph" w:customStyle="1" w:styleId="109">
    <w:name w:val="样式 正文文本缩进 + Times New Roman"/>
    <w:basedOn w:val="13"/>
    <w:link w:val="108"/>
    <w:autoRedefine/>
    <w:qFormat/>
    <w:uiPriority w:val="0"/>
    <w:pPr>
      <w:widowControl/>
      <w:tabs>
        <w:tab w:val="left" w:pos="7654"/>
      </w:tabs>
      <w:autoSpaceDE w:val="0"/>
      <w:autoSpaceDN w:val="0"/>
      <w:adjustRightInd w:val="0"/>
      <w:snapToGrid w:val="0"/>
      <w:spacing w:after="0" w:line="360" w:lineRule="auto"/>
      <w:ind w:left="0" w:leftChars="0" w:firstLine="480"/>
      <w:jc w:val="left"/>
    </w:pPr>
    <w:rPr>
      <w:rFonts w:ascii="宋体" w:hAnsi="宋体" w:cs="宋体"/>
      <w:sz w:val="24"/>
    </w:rPr>
  </w:style>
  <w:style w:type="character" w:customStyle="1" w:styleId="110">
    <w:name w:val="表格字体（科宏） Char Char"/>
    <w:link w:val="111"/>
    <w:autoRedefine/>
    <w:qFormat/>
    <w:uiPriority w:val="0"/>
    <w:rPr>
      <w:rFonts w:ascii="Arial" w:hAnsi="Arial" w:eastAsia="仿宋_GB2312"/>
      <w:sz w:val="28"/>
    </w:rPr>
  </w:style>
  <w:style w:type="paragraph" w:customStyle="1" w:styleId="111">
    <w:name w:val="表格字体（科宏）"/>
    <w:basedOn w:val="1"/>
    <w:link w:val="110"/>
    <w:autoRedefine/>
    <w:qFormat/>
    <w:uiPriority w:val="0"/>
    <w:pPr>
      <w:widowControl/>
      <w:jc w:val="center"/>
    </w:pPr>
    <w:rPr>
      <w:rFonts w:ascii="Arial" w:hAnsi="Arial" w:eastAsia="仿宋_GB2312"/>
      <w:kern w:val="0"/>
      <w:sz w:val="28"/>
      <w:szCs w:val="20"/>
    </w:rPr>
  </w:style>
  <w:style w:type="character" w:customStyle="1" w:styleId="112">
    <w:name w:val="正文(首缩进) Char Char"/>
    <w:link w:val="113"/>
    <w:autoRedefine/>
    <w:qFormat/>
    <w:uiPriority w:val="0"/>
    <w:rPr>
      <w:rFonts w:ascii="宋体" w:hAnsi="宋体" w:cs="宋体"/>
      <w:kern w:val="2"/>
      <w:sz w:val="28"/>
    </w:rPr>
  </w:style>
  <w:style w:type="paragraph" w:customStyle="1" w:styleId="113">
    <w:name w:val="正文(首缩进)"/>
    <w:basedOn w:val="1"/>
    <w:link w:val="112"/>
    <w:autoRedefine/>
    <w:qFormat/>
    <w:uiPriority w:val="0"/>
    <w:pPr>
      <w:widowControl/>
      <w:spacing w:beforeLines="25" w:afterLines="25" w:line="420" w:lineRule="auto"/>
      <w:jc w:val="left"/>
    </w:pPr>
    <w:rPr>
      <w:rFonts w:ascii="宋体" w:hAnsi="宋体" w:cs="宋体"/>
      <w:sz w:val="28"/>
      <w:szCs w:val="20"/>
    </w:rPr>
  </w:style>
  <w:style w:type="character" w:customStyle="1" w:styleId="114">
    <w:name w:val="zw1"/>
    <w:autoRedefine/>
    <w:qFormat/>
    <w:uiPriority w:val="0"/>
    <w:rPr>
      <w:rFonts w:hint="eastAsia" w:ascii="宋体" w:hAnsi="宋体" w:eastAsia="宋体"/>
      <w:sz w:val="22"/>
      <w:szCs w:val="22"/>
    </w:rPr>
  </w:style>
  <w:style w:type="character" w:customStyle="1" w:styleId="115">
    <w:name w:val="表内文字 Char"/>
    <w:autoRedefine/>
    <w:qFormat/>
    <w:uiPriority w:val="0"/>
    <w:rPr>
      <w:rFonts w:ascii="宋体" w:hAnsi="Courier New" w:eastAsia="宋体" w:cs="Courier New"/>
      <w:kern w:val="2"/>
      <w:sz w:val="21"/>
      <w:szCs w:val="21"/>
      <w:lang w:val="en-US" w:eastAsia="zh-CN" w:bidi="ar-SA"/>
    </w:rPr>
  </w:style>
  <w:style w:type="character" w:customStyle="1" w:styleId="116">
    <w:name w:val="报告 Char Char"/>
    <w:link w:val="117"/>
    <w:autoRedefine/>
    <w:qFormat/>
    <w:uiPriority w:val="0"/>
    <w:rPr>
      <w:rFonts w:ascii="宋体" w:hAnsi="宋体" w:cs="宋体"/>
      <w:sz w:val="24"/>
    </w:rPr>
  </w:style>
  <w:style w:type="paragraph" w:customStyle="1" w:styleId="117">
    <w:name w:val="报告"/>
    <w:basedOn w:val="1"/>
    <w:link w:val="116"/>
    <w:qFormat/>
    <w:uiPriority w:val="0"/>
    <w:pPr>
      <w:widowControl/>
      <w:adjustRightInd w:val="0"/>
      <w:ind w:firstLine="505"/>
      <w:jc w:val="left"/>
      <w:textAlignment w:val="baseline"/>
    </w:pPr>
    <w:rPr>
      <w:rFonts w:ascii="宋体" w:hAnsi="宋体" w:cs="宋体"/>
      <w:kern w:val="0"/>
      <w:sz w:val="24"/>
      <w:szCs w:val="20"/>
    </w:rPr>
  </w:style>
  <w:style w:type="character" w:customStyle="1" w:styleId="118">
    <w:name w:val="eofkuan"/>
    <w:basedOn w:val="38"/>
    <w:autoRedefine/>
    <w:qFormat/>
    <w:uiPriority w:val="0"/>
  </w:style>
  <w:style w:type="character" w:customStyle="1" w:styleId="119">
    <w:name w:val="1.1.1级标题 Char Char"/>
    <w:link w:val="120"/>
    <w:qFormat/>
    <w:uiPriority w:val="0"/>
    <w:rPr>
      <w:rFonts w:ascii="宋体" w:hAnsi="宋体" w:cs="宋体"/>
      <w:b/>
      <w:kern w:val="2"/>
      <w:sz w:val="28"/>
      <w:szCs w:val="28"/>
    </w:rPr>
  </w:style>
  <w:style w:type="paragraph" w:customStyle="1" w:styleId="120">
    <w:name w:val="1.1.1级标题"/>
    <w:basedOn w:val="1"/>
    <w:link w:val="119"/>
    <w:qFormat/>
    <w:uiPriority w:val="0"/>
    <w:pPr>
      <w:widowControl/>
      <w:tabs>
        <w:tab w:val="left" w:pos="851"/>
      </w:tabs>
      <w:spacing w:beforeLines="50" w:afterLines="50" w:line="540" w:lineRule="exact"/>
      <w:ind w:left="1129" w:hanging="1129"/>
      <w:jc w:val="left"/>
      <w:outlineLvl w:val="2"/>
    </w:pPr>
    <w:rPr>
      <w:rFonts w:ascii="宋体" w:hAnsi="宋体" w:cs="宋体"/>
      <w:b/>
      <w:sz w:val="28"/>
      <w:szCs w:val="28"/>
    </w:rPr>
  </w:style>
  <w:style w:type="character" w:customStyle="1" w:styleId="121">
    <w:name w:val="条标题（科宏） Char Char Char"/>
    <w:link w:val="122"/>
    <w:qFormat/>
    <w:uiPriority w:val="0"/>
    <w:rPr>
      <w:rFonts w:ascii="Arial" w:hAnsi="Arial" w:eastAsia="仿宋_GB2312"/>
      <w:kern w:val="2"/>
      <w:sz w:val="28"/>
      <w:szCs w:val="24"/>
    </w:rPr>
  </w:style>
  <w:style w:type="paragraph" w:customStyle="1" w:styleId="122">
    <w:name w:val="条标题（科宏）"/>
    <w:next w:val="1"/>
    <w:link w:val="121"/>
    <w:qFormat/>
    <w:uiPriority w:val="0"/>
    <w:pPr>
      <w:widowControl w:val="0"/>
      <w:spacing w:line="360" w:lineRule="auto"/>
      <w:jc w:val="both"/>
      <w:outlineLvl w:val="2"/>
    </w:pPr>
    <w:rPr>
      <w:rFonts w:ascii="Arial" w:hAnsi="Arial" w:eastAsia="仿宋_GB2312" w:cs="Times New Roman"/>
      <w:kern w:val="2"/>
      <w:sz w:val="28"/>
      <w:szCs w:val="24"/>
      <w:lang w:val="en-US" w:eastAsia="zh-CN" w:bidi="ar-SA"/>
    </w:rPr>
  </w:style>
  <w:style w:type="character" w:customStyle="1" w:styleId="123">
    <w:name w:val="1.1级标题 Char Char"/>
    <w:link w:val="124"/>
    <w:qFormat/>
    <w:uiPriority w:val="0"/>
    <w:rPr>
      <w:rFonts w:ascii="宋体" w:hAnsi="宋体" w:cs="宋体"/>
      <w:b/>
      <w:kern w:val="2"/>
      <w:sz w:val="28"/>
      <w:szCs w:val="28"/>
    </w:rPr>
  </w:style>
  <w:style w:type="paragraph" w:customStyle="1" w:styleId="124">
    <w:name w:val="1.1级标题"/>
    <w:basedOn w:val="1"/>
    <w:link w:val="123"/>
    <w:qFormat/>
    <w:uiPriority w:val="0"/>
    <w:pPr>
      <w:widowControl/>
      <w:tabs>
        <w:tab w:val="left" w:pos="567"/>
      </w:tabs>
      <w:spacing w:beforeLines="50" w:afterLines="50" w:line="540" w:lineRule="atLeast"/>
      <w:ind w:left="567" w:hanging="567"/>
      <w:jc w:val="left"/>
      <w:outlineLvl w:val="1"/>
    </w:pPr>
    <w:rPr>
      <w:rFonts w:ascii="宋体" w:hAnsi="宋体" w:cs="宋体"/>
      <w:b/>
      <w:sz w:val="28"/>
      <w:szCs w:val="28"/>
    </w:rPr>
  </w:style>
  <w:style w:type="character" w:customStyle="1" w:styleId="125">
    <w:name w:val="文本正文3 Char"/>
    <w:link w:val="126"/>
    <w:qFormat/>
    <w:uiPriority w:val="0"/>
    <w:rPr>
      <w:kern w:val="2"/>
      <w:szCs w:val="21"/>
    </w:rPr>
  </w:style>
  <w:style w:type="paragraph" w:customStyle="1" w:styleId="126">
    <w:name w:val="文本正文3"/>
    <w:link w:val="125"/>
    <w:qFormat/>
    <w:uiPriority w:val="0"/>
    <w:pPr>
      <w:spacing w:line="360" w:lineRule="auto"/>
      <w:ind w:firstLine="177" w:firstLineChars="177"/>
    </w:pPr>
    <w:rPr>
      <w:rFonts w:ascii="Times New Roman" w:hAnsi="Times New Roman" w:eastAsia="宋体" w:cs="Times New Roman"/>
      <w:kern w:val="2"/>
      <w:szCs w:val="21"/>
      <w:lang w:val="en-US" w:eastAsia="zh-CN" w:bidi="ar-SA"/>
    </w:rPr>
  </w:style>
  <w:style w:type="character" w:customStyle="1" w:styleId="127">
    <w:name w:val="表内容 Char"/>
    <w:link w:val="128"/>
    <w:qFormat/>
    <w:uiPriority w:val="0"/>
    <w:rPr>
      <w:rFonts w:ascii="宋体" w:hAnsi="宋体" w:cs="宋体"/>
      <w:kern w:val="2"/>
      <w:sz w:val="21"/>
      <w:szCs w:val="21"/>
    </w:rPr>
  </w:style>
  <w:style w:type="paragraph" w:customStyle="1" w:styleId="128">
    <w:name w:val="表内容"/>
    <w:basedOn w:val="1"/>
    <w:link w:val="127"/>
    <w:qFormat/>
    <w:uiPriority w:val="0"/>
    <w:pPr>
      <w:widowControl/>
      <w:jc w:val="center"/>
    </w:pPr>
    <w:rPr>
      <w:rFonts w:ascii="宋体" w:hAnsi="宋体" w:cs="宋体"/>
      <w:szCs w:val="21"/>
    </w:rPr>
  </w:style>
  <w:style w:type="character" w:customStyle="1" w:styleId="129">
    <w:name w:val="表标题 Char"/>
    <w:link w:val="130"/>
    <w:qFormat/>
    <w:uiPriority w:val="0"/>
    <w:rPr>
      <w:rFonts w:ascii="黑体" w:hAnsi="Gloucester MT Extra Condensed" w:eastAsia="黑体" w:cs="Arial"/>
      <w:bCs/>
      <w:kern w:val="2"/>
      <w:sz w:val="24"/>
      <w:szCs w:val="21"/>
    </w:rPr>
  </w:style>
  <w:style w:type="paragraph" w:customStyle="1" w:styleId="130">
    <w:name w:val="表标题"/>
    <w:basedOn w:val="1"/>
    <w:next w:val="54"/>
    <w:link w:val="129"/>
    <w:qFormat/>
    <w:uiPriority w:val="0"/>
    <w:pPr>
      <w:widowControl/>
      <w:snapToGrid w:val="0"/>
      <w:spacing w:before="120" w:afterLines="50"/>
      <w:ind w:firstLine="482"/>
      <w:jc w:val="center"/>
    </w:pPr>
    <w:rPr>
      <w:rFonts w:ascii="黑体" w:hAnsi="Gloucester MT Extra Condensed" w:eastAsia="黑体" w:cs="Arial"/>
      <w:bCs/>
      <w:sz w:val="24"/>
      <w:szCs w:val="21"/>
    </w:rPr>
  </w:style>
  <w:style w:type="character" w:customStyle="1" w:styleId="131">
    <w:name w:val="书籍标题1"/>
    <w:qFormat/>
    <w:uiPriority w:val="0"/>
    <w:rPr>
      <w:rFonts w:ascii="宋体" w:hAnsi="宋体" w:cs="宋体"/>
      <w:b/>
      <w:smallCaps/>
      <w:spacing w:val="5"/>
      <w:sz w:val="24"/>
    </w:rPr>
  </w:style>
  <w:style w:type="character" w:customStyle="1" w:styleId="132">
    <w:name w:val="信息标题 字符"/>
    <w:link w:val="29"/>
    <w:qFormat/>
    <w:uiPriority w:val="0"/>
    <w:rPr>
      <w:rFonts w:ascii="Cambria" w:hAnsi="Cambria"/>
      <w:kern w:val="2"/>
      <w:sz w:val="24"/>
      <w:szCs w:val="24"/>
      <w:shd w:val="pct20" w:color="auto" w:fill="auto"/>
    </w:rPr>
  </w:style>
  <w:style w:type="character" w:customStyle="1" w:styleId="133">
    <w:name w:val="副标题 字符"/>
    <w:link w:val="25"/>
    <w:qFormat/>
    <w:uiPriority w:val="0"/>
    <w:rPr>
      <w:rFonts w:ascii="Cambria" w:hAnsi="Cambria"/>
      <w:b/>
      <w:bCs/>
      <w:kern w:val="28"/>
      <w:sz w:val="32"/>
      <w:szCs w:val="32"/>
    </w:rPr>
  </w:style>
  <w:style w:type="character" w:customStyle="1" w:styleId="134">
    <w:name w:val="报告 Char"/>
    <w:qFormat/>
    <w:uiPriority w:val="0"/>
    <w:rPr>
      <w:rFonts w:ascii="宋体" w:hAnsi="宋体" w:eastAsia="宋体" w:cs="宋体"/>
      <w:sz w:val="24"/>
      <w:lang w:val="en-US" w:eastAsia="zh-CN" w:bidi="ar-SA"/>
    </w:rPr>
  </w:style>
  <w:style w:type="character" w:customStyle="1" w:styleId="135">
    <w:name w:val="sc3"/>
    <w:basedOn w:val="38"/>
    <w:qFormat/>
    <w:uiPriority w:val="0"/>
  </w:style>
  <w:style w:type="character" w:customStyle="1" w:styleId="136">
    <w:name w:val="正文文本缩进 3 字符"/>
    <w:basedOn w:val="38"/>
    <w:link w:val="27"/>
    <w:qFormat/>
    <w:uiPriority w:val="0"/>
    <w:rPr>
      <w:kern w:val="2"/>
      <w:sz w:val="16"/>
      <w:szCs w:val="16"/>
    </w:rPr>
  </w:style>
  <w:style w:type="character" w:customStyle="1" w:styleId="137">
    <w:name w:val="副标题 字符1"/>
    <w:basedOn w:val="38"/>
    <w:qFormat/>
    <w:uiPriority w:val="0"/>
    <w:rPr>
      <w:rFonts w:asciiTheme="minorHAnsi" w:hAnsiTheme="minorHAnsi" w:eastAsiaTheme="minorEastAsia" w:cstheme="minorBidi"/>
      <w:b/>
      <w:bCs/>
      <w:kern w:val="28"/>
      <w:sz w:val="32"/>
      <w:szCs w:val="32"/>
    </w:rPr>
  </w:style>
  <w:style w:type="character" w:customStyle="1" w:styleId="138">
    <w:name w:val="文档结构图 字符"/>
    <w:basedOn w:val="38"/>
    <w:link w:val="9"/>
    <w:qFormat/>
    <w:uiPriority w:val="0"/>
    <w:rPr>
      <w:kern w:val="2"/>
      <w:sz w:val="24"/>
      <w:szCs w:val="24"/>
      <w:shd w:val="clear" w:color="auto" w:fill="000080"/>
    </w:rPr>
  </w:style>
  <w:style w:type="character" w:customStyle="1" w:styleId="139">
    <w:name w:val="正文文本缩进 2 字符"/>
    <w:basedOn w:val="38"/>
    <w:link w:val="19"/>
    <w:qFormat/>
    <w:uiPriority w:val="0"/>
    <w:rPr>
      <w:kern w:val="2"/>
      <w:sz w:val="24"/>
      <w:szCs w:val="24"/>
    </w:rPr>
  </w:style>
  <w:style w:type="character" w:customStyle="1" w:styleId="140">
    <w:name w:val="信息标题 字符1"/>
    <w:basedOn w:val="38"/>
    <w:qFormat/>
    <w:uiPriority w:val="0"/>
    <w:rPr>
      <w:rFonts w:asciiTheme="majorHAnsi" w:hAnsiTheme="majorHAnsi" w:eastAsiaTheme="majorEastAsia" w:cstheme="majorBidi"/>
      <w:kern w:val="2"/>
      <w:sz w:val="24"/>
      <w:szCs w:val="24"/>
      <w:shd w:val="pct20" w:color="auto" w:fill="auto"/>
    </w:rPr>
  </w:style>
  <w:style w:type="character" w:customStyle="1" w:styleId="141">
    <w:name w:val="纯文本 字符1"/>
    <w:basedOn w:val="38"/>
    <w:qFormat/>
    <w:uiPriority w:val="0"/>
    <w:rPr>
      <w:rFonts w:hAnsi="Courier New" w:cs="Courier New" w:asciiTheme="minorEastAsia" w:eastAsiaTheme="minorEastAsia"/>
      <w:kern w:val="2"/>
      <w:sz w:val="21"/>
      <w:szCs w:val="24"/>
    </w:rPr>
  </w:style>
  <w:style w:type="paragraph" w:customStyle="1" w:styleId="142">
    <w:name w:val="1.1.1.1.1级标题"/>
    <w:basedOn w:val="143"/>
    <w:next w:val="107"/>
    <w:qFormat/>
    <w:uiPriority w:val="0"/>
    <w:pPr>
      <w:tabs>
        <w:tab w:val="left" w:pos="851"/>
        <w:tab w:val="left" w:pos="992"/>
      </w:tabs>
      <w:ind w:left="992" w:hanging="992"/>
      <w:outlineLvl w:val="4"/>
    </w:pPr>
  </w:style>
  <w:style w:type="paragraph" w:customStyle="1" w:styleId="143">
    <w:name w:val="1.1.1.1级标题"/>
    <w:next w:val="1"/>
    <w:qFormat/>
    <w:uiPriority w:val="0"/>
    <w:pPr>
      <w:tabs>
        <w:tab w:val="left" w:pos="851"/>
      </w:tabs>
      <w:spacing w:beforeLines="50" w:afterLines="50" w:line="540" w:lineRule="exact"/>
      <w:ind w:left="851" w:hanging="851"/>
      <w:outlineLvl w:val="3"/>
    </w:pPr>
    <w:rPr>
      <w:rFonts w:ascii="Times New Roman" w:hAnsi="Times New Roman" w:eastAsia="宋体" w:cs="Times New Roman"/>
      <w:b/>
      <w:bCs/>
      <w:kern w:val="2"/>
      <w:sz w:val="28"/>
      <w:szCs w:val="28"/>
      <w:lang w:val="en-US" w:eastAsia="zh-CN" w:bidi="ar-SA"/>
    </w:rPr>
  </w:style>
  <w:style w:type="paragraph" w:customStyle="1" w:styleId="144">
    <w:name w:val="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45">
    <w:name w:val="我的正文 Char Char Char"/>
    <w:basedOn w:val="1"/>
    <w:qFormat/>
    <w:uiPriority w:val="0"/>
    <w:pPr>
      <w:widowControl/>
      <w:jc w:val="left"/>
    </w:pPr>
    <w:rPr>
      <w:sz w:val="24"/>
    </w:rPr>
  </w:style>
  <w:style w:type="paragraph" w:customStyle="1" w:styleId="146">
    <w:name w:val="样式 样式 (中文) 楷体_GB2312 四号 行距: 固定值 26 磅 +"/>
    <w:basedOn w:val="1"/>
    <w:qFormat/>
    <w:uiPriority w:val="0"/>
    <w:pPr>
      <w:widowControl/>
      <w:ind w:firstLine="480"/>
      <w:jc w:val="left"/>
    </w:pPr>
    <w:rPr>
      <w:bCs/>
      <w:kern w:val="0"/>
      <w:sz w:val="24"/>
      <w:szCs w:val="20"/>
    </w:rPr>
  </w:style>
  <w:style w:type="paragraph" w:customStyle="1" w:styleId="147">
    <w:name w:val="正文01"/>
    <w:basedOn w:val="1"/>
    <w:qFormat/>
    <w:uiPriority w:val="0"/>
    <w:pPr>
      <w:widowControl/>
      <w:ind w:firstLine="482"/>
      <w:jc w:val="left"/>
    </w:pPr>
    <w:rPr>
      <w:sz w:val="24"/>
      <w:szCs w:val="20"/>
    </w:rPr>
  </w:style>
  <w:style w:type="paragraph" w:customStyle="1" w:styleId="148">
    <w:name w:val="p16"/>
    <w:basedOn w:val="1"/>
    <w:qFormat/>
    <w:uiPriority w:val="0"/>
    <w:pPr>
      <w:widowControl/>
      <w:ind w:firstLine="420"/>
      <w:jc w:val="left"/>
    </w:pPr>
    <w:rPr>
      <w:rFonts w:ascii="宋体" w:hAnsi="宋体" w:cs="宋体"/>
      <w:kern w:val="0"/>
      <w:sz w:val="24"/>
    </w:rPr>
  </w:style>
  <w:style w:type="paragraph" w:customStyle="1" w:styleId="149">
    <w:name w:val="Char4 Char Char Char"/>
    <w:basedOn w:val="1"/>
    <w:qFormat/>
    <w:uiPriority w:val="0"/>
    <w:pPr>
      <w:widowControl/>
      <w:adjustRightInd w:val="0"/>
      <w:snapToGrid w:val="0"/>
      <w:jc w:val="left"/>
    </w:pPr>
    <w:rPr>
      <w:sz w:val="24"/>
      <w:szCs w:val="20"/>
    </w:rPr>
  </w:style>
  <w:style w:type="paragraph" w:customStyle="1" w:styleId="150">
    <w:name w:val="Char Char Char Char Char Char"/>
    <w:basedOn w:val="1"/>
    <w:qFormat/>
    <w:uiPriority w:val="0"/>
    <w:pPr>
      <w:widowControl/>
      <w:jc w:val="left"/>
    </w:pPr>
    <w:rPr>
      <w:rFonts w:eastAsia="仿宋_GB2312"/>
      <w:sz w:val="24"/>
    </w:rPr>
  </w:style>
  <w:style w:type="paragraph" w:customStyle="1" w:styleId="151">
    <w:name w:val="表格2"/>
    <w:basedOn w:val="1"/>
    <w:next w:val="1"/>
    <w:qFormat/>
    <w:uiPriority w:val="0"/>
    <w:pPr>
      <w:widowControl/>
      <w:topLinePunct/>
      <w:autoSpaceDE w:val="0"/>
      <w:autoSpaceDN w:val="0"/>
      <w:adjustRightInd w:val="0"/>
      <w:jc w:val="center"/>
      <w:textAlignment w:val="baseline"/>
    </w:pPr>
    <w:rPr>
      <w:rFonts w:ascii="宋体" w:hAnsi="Impact"/>
      <w:kern w:val="24"/>
      <w:position w:val="-28"/>
      <w:sz w:val="24"/>
      <w:szCs w:val="20"/>
    </w:rPr>
  </w:style>
  <w:style w:type="paragraph" w:customStyle="1" w:styleId="152">
    <w:name w:val="1级标题"/>
    <w:basedOn w:val="1"/>
    <w:qFormat/>
    <w:uiPriority w:val="0"/>
    <w:pPr>
      <w:widowControl/>
      <w:tabs>
        <w:tab w:val="left" w:pos="425"/>
      </w:tabs>
      <w:spacing w:beforeLines="50" w:afterLines="50" w:line="540" w:lineRule="exact"/>
      <w:ind w:left="425" w:hanging="425"/>
      <w:jc w:val="left"/>
      <w:outlineLvl w:val="0"/>
    </w:pPr>
    <w:rPr>
      <w:b/>
      <w:sz w:val="28"/>
      <w:szCs w:val="30"/>
    </w:rPr>
  </w:style>
  <w:style w:type="paragraph" w:customStyle="1" w:styleId="153">
    <w:name w:val="Char"/>
    <w:basedOn w:val="1"/>
    <w:qFormat/>
    <w:uiPriority w:val="0"/>
    <w:pPr>
      <w:widowControl/>
      <w:jc w:val="left"/>
    </w:pPr>
    <w:rPr>
      <w:sz w:val="24"/>
    </w:rPr>
  </w:style>
  <w:style w:type="paragraph" w:customStyle="1" w:styleId="154">
    <w:name w:val="1表格"/>
    <w:basedOn w:val="1"/>
    <w:qFormat/>
    <w:uiPriority w:val="0"/>
    <w:pPr>
      <w:widowControl/>
      <w:snapToGrid w:val="0"/>
      <w:spacing w:line="160" w:lineRule="atLeast"/>
      <w:jc w:val="center"/>
    </w:pPr>
    <w:rPr>
      <w:rFonts w:eastAsia="仿宋_GB2312"/>
      <w:sz w:val="24"/>
      <w:szCs w:val="20"/>
    </w:rPr>
  </w:style>
  <w:style w:type="paragraph" w:customStyle="1" w:styleId="155">
    <w:name w:val="方框"/>
    <w:basedOn w:val="1"/>
    <w:qFormat/>
    <w:uiPriority w:val="0"/>
    <w:pPr>
      <w:widowControl/>
      <w:spacing w:line="0" w:lineRule="atLeast"/>
      <w:jc w:val="left"/>
    </w:pPr>
    <w:rPr>
      <w:rFonts w:ascii="宋体"/>
      <w:kern w:val="0"/>
      <w:sz w:val="24"/>
      <w:szCs w:val="20"/>
    </w:rPr>
  </w:style>
  <w:style w:type="paragraph" w:customStyle="1" w:styleId="156">
    <w:name w:val="xl59"/>
    <w:basedOn w:val="1"/>
    <w:qFormat/>
    <w:uiPriority w:val="0"/>
    <w:pPr>
      <w:widowControl/>
      <w:pBdr>
        <w:bottom w:val="single" w:color="auto" w:sz="8" w:space="0"/>
        <w:right w:val="single" w:color="000000" w:sz="8" w:space="0"/>
      </w:pBdr>
      <w:spacing w:before="100" w:beforeAutospacing="1" w:after="100" w:afterAutospacing="1"/>
      <w:jc w:val="left"/>
      <w:textAlignment w:val="top"/>
    </w:pPr>
    <w:rPr>
      <w:rFonts w:ascii="Arial Unicode MS" w:hAnsi="Arial Unicode MS" w:eastAsia="Arial Unicode MS" w:cs="Arial Unicode MS"/>
      <w:kern w:val="0"/>
      <w:sz w:val="24"/>
      <w:szCs w:val="21"/>
    </w:rPr>
  </w:style>
  <w:style w:type="paragraph" w:customStyle="1" w:styleId="157">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158">
    <w:name w:val="样式 左侧:  1.11 厘米"/>
    <w:basedOn w:val="1"/>
    <w:qFormat/>
    <w:uiPriority w:val="0"/>
    <w:pPr>
      <w:widowControl/>
      <w:tabs>
        <w:tab w:val="left" w:pos="0"/>
      </w:tabs>
      <w:ind w:left="629"/>
      <w:jc w:val="left"/>
    </w:pPr>
    <w:rPr>
      <w:rFonts w:cs="宋体"/>
      <w:sz w:val="24"/>
      <w:szCs w:val="20"/>
    </w:rPr>
  </w:style>
  <w:style w:type="paragraph" w:customStyle="1" w:styleId="159">
    <w:name w:val="表头"/>
    <w:basedOn w:val="2"/>
    <w:qFormat/>
    <w:uiPriority w:val="0"/>
    <w:pPr>
      <w:widowControl w:val="0"/>
      <w:spacing w:before="240" w:line="480" w:lineRule="exact"/>
      <w:ind w:firstLine="0"/>
      <w:jc w:val="center"/>
    </w:pPr>
    <w:rPr>
      <w:rFonts w:ascii="宋体" w:hAnsi="Times New Roman" w:eastAsia="黑体"/>
      <w:spacing w:val="6"/>
      <w:kern w:val="2"/>
      <w:position w:val="10"/>
      <w:sz w:val="21"/>
    </w:rPr>
  </w:style>
  <w:style w:type="paragraph" w:customStyle="1" w:styleId="160">
    <w:name w:val="p0"/>
    <w:basedOn w:val="1"/>
    <w:qFormat/>
    <w:uiPriority w:val="99"/>
    <w:pPr>
      <w:widowControl/>
      <w:jc w:val="left"/>
    </w:pPr>
    <w:rPr>
      <w:kern w:val="0"/>
      <w:sz w:val="24"/>
      <w:szCs w:val="21"/>
    </w:rPr>
  </w:style>
  <w:style w:type="paragraph" w:customStyle="1" w:styleId="161">
    <w:name w:val="样式 (中文) 华文中宋 (符号) 华文中宋 行距: 1.5 倍行距 首行缩进:  2 字符"/>
    <w:basedOn w:val="1"/>
    <w:qFormat/>
    <w:uiPriority w:val="0"/>
    <w:pPr>
      <w:widowControl/>
      <w:adjustRightInd w:val="0"/>
      <w:snapToGrid w:val="0"/>
      <w:spacing w:beforeLines="25" w:afterLines="25"/>
      <w:jc w:val="left"/>
    </w:pPr>
    <w:rPr>
      <w:rFonts w:ascii="Arial" w:hAnsi="Arial" w:eastAsia="仿宋_GB2312" w:cs="宋体"/>
      <w:sz w:val="28"/>
      <w:szCs w:val="28"/>
    </w:rPr>
  </w:style>
  <w:style w:type="paragraph" w:customStyle="1" w:styleId="162">
    <w:name w:val="表格文字（科宏）"/>
    <w:basedOn w:val="1"/>
    <w:qFormat/>
    <w:uiPriority w:val="0"/>
    <w:pPr>
      <w:widowControl/>
      <w:jc w:val="center"/>
    </w:pPr>
    <w:rPr>
      <w:rFonts w:ascii="Arial" w:hAnsi="Arial" w:eastAsia="仿宋_GB2312"/>
      <w:kern w:val="0"/>
      <w:sz w:val="24"/>
      <w:szCs w:val="20"/>
    </w:rPr>
  </w:style>
  <w:style w:type="paragraph" w:customStyle="1" w:styleId="163">
    <w:name w:val="表文"/>
    <w:next w:val="1"/>
    <w:qFormat/>
    <w:uiPriority w:val="0"/>
    <w:pPr>
      <w:spacing w:line="340" w:lineRule="exact"/>
      <w:jc w:val="center"/>
    </w:pPr>
    <w:rPr>
      <w:rFonts w:ascii="宋体" w:hAnsi="宋体" w:eastAsia="宋体" w:cs="Times New Roman"/>
      <w:kern w:val="2"/>
      <w:sz w:val="21"/>
      <w:szCs w:val="24"/>
      <w:lang w:val="en-US" w:eastAsia="zh-CN" w:bidi="ar-SA"/>
    </w:rPr>
  </w:style>
  <w:style w:type="paragraph" w:customStyle="1" w:styleId="164">
    <w:name w:val="Char1 Char Char Char Char Char Char2 Char Char Char Char Char Char Char Char Char Char Char Char Char Char Char Char Char Char"/>
    <w:basedOn w:val="1"/>
    <w:qFormat/>
    <w:uiPriority w:val="0"/>
    <w:pPr>
      <w:widowControl/>
      <w:jc w:val="left"/>
    </w:pPr>
    <w:rPr>
      <w:sz w:val="24"/>
    </w:rPr>
  </w:style>
  <w:style w:type="paragraph" w:customStyle="1" w:styleId="165">
    <w:name w:val="字元 字元2"/>
    <w:basedOn w:val="1"/>
    <w:qFormat/>
    <w:uiPriority w:val="0"/>
    <w:pPr>
      <w:widowControl/>
      <w:tabs>
        <w:tab w:val="left" w:pos="360"/>
      </w:tabs>
      <w:jc w:val="left"/>
    </w:pPr>
    <w:rPr>
      <w:sz w:val="24"/>
    </w:rPr>
  </w:style>
  <w:style w:type="paragraph" w:customStyle="1" w:styleId="166">
    <w:name w:val="默认段落字体 Para Char"/>
    <w:basedOn w:val="1"/>
    <w:qFormat/>
    <w:uiPriority w:val="0"/>
    <w:pPr>
      <w:widowControl/>
      <w:ind w:left="150" w:leftChars="150"/>
      <w:jc w:val="left"/>
    </w:pPr>
    <w:rPr>
      <w:rFonts w:ascii="宋体" w:hAnsi="宋体" w:cs="宋体"/>
      <w:sz w:val="24"/>
    </w:rPr>
  </w:style>
  <w:style w:type="paragraph" w:customStyle="1" w:styleId="167">
    <w:name w:val="表格式"/>
    <w:basedOn w:val="26"/>
    <w:qFormat/>
    <w:uiPriority w:val="0"/>
    <w:pPr>
      <w:spacing w:line="400" w:lineRule="exact"/>
      <w:ind w:left="0" w:firstLine="0" w:firstLineChars="0"/>
      <w:jc w:val="center"/>
    </w:pPr>
    <w:rPr>
      <w:rFonts w:ascii="宋体"/>
      <w:szCs w:val="20"/>
    </w:rPr>
  </w:style>
  <w:style w:type="paragraph" w:customStyle="1" w:styleId="168">
    <w:name w:val="Char Char Char"/>
    <w:basedOn w:val="1"/>
    <w:qFormat/>
    <w:uiPriority w:val="0"/>
    <w:pPr>
      <w:widowControl/>
      <w:spacing w:line="357" w:lineRule="atLeast"/>
      <w:jc w:val="left"/>
      <w:textAlignment w:val="baseline"/>
    </w:pPr>
    <w:rPr>
      <w:color w:val="000000"/>
      <w:kern w:val="0"/>
      <w:sz w:val="24"/>
      <w:szCs w:val="20"/>
      <w:u w:color="000000"/>
    </w:rPr>
  </w:style>
  <w:style w:type="paragraph" w:customStyle="1" w:styleId="169">
    <w:name w:val="报告书正文"/>
    <w:basedOn w:val="1"/>
    <w:qFormat/>
    <w:uiPriority w:val="0"/>
    <w:pPr>
      <w:widowControl/>
      <w:spacing w:line="400" w:lineRule="exact"/>
      <w:jc w:val="left"/>
    </w:pPr>
    <w:rPr>
      <w:sz w:val="24"/>
    </w:rPr>
  </w:style>
  <w:style w:type="paragraph" w:customStyle="1" w:styleId="170">
    <w:name w:val="表格文字"/>
    <w:basedOn w:val="1"/>
    <w:link w:val="196"/>
    <w:qFormat/>
    <w:uiPriority w:val="0"/>
    <w:pPr>
      <w:widowControl/>
      <w:adjustRightInd w:val="0"/>
      <w:snapToGrid w:val="0"/>
      <w:jc w:val="center"/>
    </w:pPr>
    <w:rPr>
      <w:rFonts w:ascii="Arial" w:hAnsi="Arial" w:eastAsia="仿宋_GB2312" w:cs="Arial"/>
      <w:color w:val="000000"/>
      <w:spacing w:val="-20"/>
      <w:sz w:val="24"/>
      <w:szCs w:val="20"/>
    </w:rPr>
  </w:style>
  <w:style w:type="paragraph" w:customStyle="1" w:styleId="171">
    <w:name w:val="Char1 Char Char Char"/>
    <w:basedOn w:val="1"/>
    <w:qFormat/>
    <w:uiPriority w:val="0"/>
    <w:pPr>
      <w:widowControl/>
      <w:jc w:val="left"/>
    </w:pPr>
    <w:rPr>
      <w:sz w:val="24"/>
    </w:rPr>
  </w:style>
  <w:style w:type="paragraph" w:customStyle="1" w:styleId="172">
    <w:name w:val="节标题（科宏）"/>
    <w:next w:val="1"/>
    <w:qFormat/>
    <w:uiPriority w:val="0"/>
    <w:pPr>
      <w:widowControl w:val="0"/>
      <w:spacing w:beforeLines="50" w:afterLines="50" w:line="360" w:lineRule="auto"/>
      <w:ind w:left="426"/>
      <w:jc w:val="center"/>
      <w:outlineLvl w:val="1"/>
    </w:pPr>
    <w:rPr>
      <w:rFonts w:ascii="Arial" w:hAnsi="Arial" w:eastAsia="仿宋_GB2312" w:cs="Times New Roman"/>
      <w:b/>
      <w:kern w:val="2"/>
      <w:sz w:val="30"/>
      <w:szCs w:val="24"/>
      <w:lang w:val="en-US" w:eastAsia="zh-CN" w:bidi="ar-SA"/>
    </w:rPr>
  </w:style>
  <w:style w:type="paragraph" w:customStyle="1" w:styleId="173">
    <w:name w:val="图表文字"/>
    <w:basedOn w:val="1"/>
    <w:qFormat/>
    <w:uiPriority w:val="0"/>
    <w:pPr>
      <w:widowControl/>
      <w:jc w:val="left"/>
    </w:pPr>
    <w:rPr>
      <w:rFonts w:hAnsi="宋体"/>
      <w:spacing w:val="-6"/>
      <w:sz w:val="24"/>
    </w:rPr>
  </w:style>
  <w:style w:type="paragraph" w:customStyle="1" w:styleId="174">
    <w:name w:val="正文2"/>
    <w:basedOn w:val="1"/>
    <w:qFormat/>
    <w:uiPriority w:val="0"/>
    <w:pPr>
      <w:widowControl/>
      <w:adjustRightInd w:val="0"/>
      <w:snapToGrid w:val="0"/>
      <w:spacing w:line="440" w:lineRule="atLeast"/>
      <w:ind w:firstLine="567"/>
      <w:jc w:val="left"/>
    </w:pPr>
    <w:rPr>
      <w:sz w:val="24"/>
      <w:szCs w:val="20"/>
    </w:rPr>
  </w:style>
  <w:style w:type="paragraph" w:customStyle="1" w:styleId="175">
    <w:name w:val="xl39"/>
    <w:basedOn w:val="1"/>
    <w:qFormat/>
    <w:uiPriority w:val="0"/>
    <w:pPr>
      <w:widowControl/>
      <w:spacing w:before="100" w:beforeAutospacing="1" w:after="100" w:afterAutospacing="1"/>
      <w:jc w:val="center"/>
    </w:pPr>
    <w:rPr>
      <w:rFonts w:hint="eastAsia" w:ascii="Arial Unicode MS" w:hAnsi="Arial Unicode MS" w:eastAsia="Arial Unicode MS"/>
      <w:kern w:val="0"/>
      <w:sz w:val="28"/>
      <w:szCs w:val="28"/>
    </w:rPr>
  </w:style>
  <w:style w:type="paragraph" w:customStyle="1" w:styleId="176">
    <w:name w:val="Char Char1"/>
    <w:basedOn w:val="1"/>
    <w:qFormat/>
    <w:uiPriority w:val="0"/>
    <w:pPr>
      <w:widowControl/>
      <w:spacing w:before="100" w:beforeAutospacing="1" w:after="100" w:afterAutospacing="1"/>
      <w:jc w:val="left"/>
    </w:pPr>
    <w:rPr>
      <w:rFonts w:ascii="Verdana" w:hAnsi="Verdana" w:eastAsia="仿宋_GB2312"/>
      <w:kern w:val="0"/>
      <w:sz w:val="20"/>
      <w:szCs w:val="21"/>
      <w:lang w:eastAsia="en-US"/>
    </w:rPr>
  </w:style>
  <w:style w:type="paragraph" w:customStyle="1" w:styleId="177">
    <w:name w:val="xl24"/>
    <w:basedOn w:val="1"/>
    <w:qFormat/>
    <w:uiPriority w:val="0"/>
    <w:pPr>
      <w:widowControl/>
      <w:spacing w:before="100" w:beforeAutospacing="1" w:after="100" w:afterAutospacing="1"/>
      <w:jc w:val="center"/>
    </w:pPr>
    <w:rPr>
      <w:rFonts w:ascii="宋体" w:hAnsi="宋体"/>
      <w:kern w:val="0"/>
      <w:sz w:val="24"/>
    </w:rPr>
  </w:style>
  <w:style w:type="paragraph" w:customStyle="1" w:styleId="178">
    <w:name w:val="xl26"/>
    <w:basedOn w:val="1"/>
    <w:qFormat/>
    <w:uiPriority w:val="0"/>
    <w:pPr>
      <w:widowControl/>
      <w:pBdr>
        <w:left w:val="single" w:color="auto" w:sz="4" w:space="0"/>
        <w:right w:val="single" w:color="auto" w:sz="4" w:space="0"/>
      </w:pBdr>
      <w:spacing w:before="100" w:beforeAutospacing="1" w:after="100" w:afterAutospacing="1"/>
      <w:jc w:val="center"/>
    </w:pPr>
    <w:rPr>
      <w:rFonts w:hint="eastAsia" w:ascii="Arial Unicode MS" w:hAnsi="Arial Unicode MS" w:eastAsia="Arial Unicode MS"/>
      <w:kern w:val="0"/>
      <w:sz w:val="24"/>
    </w:rPr>
  </w:style>
  <w:style w:type="paragraph" w:customStyle="1" w:styleId="179">
    <w:name w:val="表格文字2"/>
    <w:basedOn w:val="1"/>
    <w:qFormat/>
    <w:uiPriority w:val="0"/>
    <w:pPr>
      <w:widowControl/>
      <w:adjustRightInd w:val="0"/>
      <w:spacing w:before="60"/>
      <w:jc w:val="center"/>
      <w:textAlignment w:val="baseline"/>
    </w:pPr>
    <w:rPr>
      <w:rFonts w:ascii="宋体"/>
      <w:kern w:val="0"/>
      <w:sz w:val="24"/>
      <w:szCs w:val="20"/>
    </w:rPr>
  </w:style>
  <w:style w:type="paragraph" w:customStyle="1" w:styleId="180">
    <w:name w:val="正文文字2"/>
    <w:basedOn w:val="1"/>
    <w:qFormat/>
    <w:uiPriority w:val="0"/>
    <w:pPr>
      <w:widowControl/>
      <w:adjustRightInd w:val="0"/>
      <w:snapToGrid w:val="0"/>
      <w:ind w:firstLine="480"/>
      <w:jc w:val="left"/>
    </w:pPr>
    <w:rPr>
      <w:rFonts w:cs="宋体"/>
      <w:color w:val="000000"/>
      <w:kern w:val="0"/>
      <w:sz w:val="24"/>
      <w:szCs w:val="20"/>
    </w:rPr>
  </w:style>
  <w:style w:type="paragraph" w:customStyle="1" w:styleId="181">
    <w:name w:val="图表标题"/>
    <w:basedOn w:val="117"/>
    <w:next w:val="82"/>
    <w:link w:val="211"/>
    <w:qFormat/>
    <w:uiPriority w:val="0"/>
    <w:pPr>
      <w:snapToGrid w:val="0"/>
      <w:ind w:firstLine="0"/>
      <w:jc w:val="center"/>
    </w:pPr>
    <w:rPr>
      <w:rFonts w:ascii="Times New Roman" w:hAnsi="Times New Roman"/>
      <w:b/>
      <w:kern w:val="2"/>
      <w:szCs w:val="24"/>
    </w:rPr>
  </w:style>
  <w:style w:type="paragraph" w:customStyle="1" w:styleId="182">
    <w:name w:val="+正文"/>
    <w:basedOn w:val="1"/>
    <w:qFormat/>
    <w:uiPriority w:val="0"/>
    <w:pPr>
      <w:widowControl/>
      <w:jc w:val="left"/>
    </w:pPr>
    <w:rPr>
      <w:sz w:val="24"/>
      <w:szCs w:val="28"/>
    </w:rPr>
  </w:style>
  <w:style w:type="table" w:customStyle="1" w:styleId="183">
    <w:name w:val="浅色底纹1"/>
    <w:basedOn w:val="36"/>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C0C0C0"/>
      </w:tcPr>
    </w:tblStylePr>
    <w:tblStylePr w:type="band1Horz">
      <w:tcPr>
        <w:tcBorders>
          <w:left w:val="nil"/>
          <w:right w:val="nil"/>
          <w:insideH w:val="nil"/>
          <w:insideV w:val="nil"/>
        </w:tcBorders>
        <w:shd w:val="clear" w:color="auto" w:fill="C0C0C0"/>
      </w:tcPr>
    </w:tblStylePr>
  </w:style>
  <w:style w:type="paragraph" w:customStyle="1" w:styleId="184">
    <w:name w:val="环表题"/>
    <w:basedOn w:val="130"/>
    <w:qFormat/>
    <w:uiPriority w:val="0"/>
    <w:pPr>
      <w:adjustRightInd w:val="0"/>
      <w:spacing w:before="0" w:afterLines="0"/>
      <w:ind w:firstLine="210"/>
    </w:pPr>
    <w:rPr>
      <w:rFonts w:ascii="Times New Roman" w:hAnsi="Times New Roman" w:eastAsia="宋体"/>
      <w:kern w:val="0"/>
      <w:sz w:val="21"/>
    </w:rPr>
  </w:style>
  <w:style w:type="paragraph" w:customStyle="1" w:styleId="185">
    <w:name w:val="环表格"/>
    <w:basedOn w:val="54"/>
    <w:qFormat/>
    <w:uiPriority w:val="0"/>
    <w:pPr>
      <w:widowControl/>
      <w:spacing w:beforeLines="20" w:afterLines="20"/>
    </w:pPr>
    <w:rPr>
      <w:bCs/>
      <w:kern w:val="2"/>
      <w:szCs w:val="20"/>
    </w:rPr>
  </w:style>
  <w:style w:type="character" w:customStyle="1" w:styleId="186">
    <w:name w:val="正文文本 (2)_"/>
    <w:basedOn w:val="38"/>
    <w:link w:val="187"/>
    <w:qFormat/>
    <w:uiPriority w:val="0"/>
    <w:rPr>
      <w:rFonts w:ascii="MingLiU" w:hAnsi="MingLiU" w:eastAsia="MingLiU" w:cs="MingLiU"/>
      <w:sz w:val="22"/>
      <w:szCs w:val="22"/>
      <w:shd w:val="clear" w:color="auto" w:fill="FFFFFF"/>
    </w:rPr>
  </w:style>
  <w:style w:type="paragraph" w:customStyle="1" w:styleId="187">
    <w:name w:val="正文文本 (2)"/>
    <w:basedOn w:val="1"/>
    <w:link w:val="186"/>
    <w:qFormat/>
    <w:uiPriority w:val="0"/>
    <w:pPr>
      <w:widowControl/>
      <w:shd w:val="clear" w:color="auto" w:fill="FFFFFF"/>
      <w:spacing w:line="456" w:lineRule="exact"/>
      <w:jc w:val="distribute"/>
    </w:pPr>
    <w:rPr>
      <w:rFonts w:ascii="MingLiU" w:hAnsi="MingLiU" w:eastAsia="MingLiU" w:cs="MingLiU"/>
      <w:kern w:val="0"/>
      <w:sz w:val="22"/>
      <w:szCs w:val="22"/>
    </w:rPr>
  </w:style>
  <w:style w:type="character" w:customStyle="1" w:styleId="188">
    <w:name w:val="正文文本 (2) + 9.5 pt"/>
    <w:basedOn w:val="186"/>
    <w:qFormat/>
    <w:uiPriority w:val="0"/>
    <w:rPr>
      <w:rFonts w:ascii="MingLiU" w:hAnsi="MingLiU" w:eastAsia="MingLiU" w:cs="MingLiU"/>
      <w:color w:val="000000"/>
      <w:spacing w:val="0"/>
      <w:w w:val="100"/>
      <w:position w:val="0"/>
      <w:sz w:val="19"/>
      <w:szCs w:val="19"/>
      <w:shd w:val="clear" w:color="auto" w:fill="FFFFFF"/>
      <w:lang w:val="zh-TW" w:eastAsia="zh-TW" w:bidi="zh-TW"/>
    </w:rPr>
  </w:style>
  <w:style w:type="character" w:customStyle="1" w:styleId="189">
    <w:name w:val="正文文本 (2) + Times New Roman"/>
    <w:basedOn w:val="186"/>
    <w:qFormat/>
    <w:uiPriority w:val="0"/>
    <w:rPr>
      <w:rFonts w:ascii="Times New Roman" w:hAnsi="Times New Roman" w:eastAsia="Times New Roman" w:cs="Times New Roman"/>
      <w:color w:val="000000"/>
      <w:spacing w:val="0"/>
      <w:w w:val="100"/>
      <w:position w:val="0"/>
      <w:sz w:val="21"/>
      <w:szCs w:val="21"/>
      <w:shd w:val="clear" w:color="auto" w:fill="FFFFFF"/>
      <w:lang w:val="en-US" w:eastAsia="en-US" w:bidi="en-US"/>
    </w:rPr>
  </w:style>
  <w:style w:type="paragraph" w:styleId="190">
    <w:name w:val="No Spacing"/>
    <w:link w:val="191"/>
    <w:qFormat/>
    <w:uiPriority w:val="1"/>
    <w:pPr>
      <w:widowControl w:val="0"/>
      <w:spacing w:line="340" w:lineRule="exact"/>
      <w:jc w:val="center"/>
    </w:pPr>
    <w:rPr>
      <w:rFonts w:ascii="Times New Roman" w:hAnsi="Times New Roman" w:eastAsia="宋体" w:cs="Times New Roman"/>
      <w:snapToGrid w:val="0"/>
      <w:color w:val="1F497D"/>
      <w:sz w:val="21"/>
      <w:szCs w:val="21"/>
      <w:lang w:val="zh-CN" w:eastAsia="zh-CN" w:bidi="ar-SA"/>
    </w:rPr>
  </w:style>
  <w:style w:type="character" w:customStyle="1" w:styleId="191">
    <w:name w:val="无间隔 字符"/>
    <w:link w:val="190"/>
    <w:qFormat/>
    <w:uiPriority w:val="1"/>
    <w:rPr>
      <w:snapToGrid w:val="0"/>
      <w:color w:val="1F497D"/>
      <w:sz w:val="21"/>
      <w:szCs w:val="21"/>
      <w:lang w:val="zh-CN"/>
    </w:rPr>
  </w:style>
  <w:style w:type="paragraph" w:customStyle="1" w:styleId="192">
    <w:name w:val="报告表格内中"/>
    <w:basedOn w:val="1"/>
    <w:qFormat/>
    <w:uiPriority w:val="0"/>
    <w:pPr>
      <w:widowControl/>
      <w:spacing w:before="100" w:beforeAutospacing="1"/>
      <w:jc w:val="center"/>
    </w:pPr>
    <w:rPr>
      <w:sz w:val="24"/>
    </w:rPr>
  </w:style>
  <w:style w:type="character" w:customStyle="1" w:styleId="193">
    <w:name w:val="HTML 预设格式 字符"/>
    <w:basedOn w:val="38"/>
    <w:link w:val="30"/>
    <w:qFormat/>
    <w:uiPriority w:val="99"/>
    <w:rPr>
      <w:rFonts w:ascii="Courier New" w:hAnsi="Courier New" w:cs="Courier New"/>
      <w:kern w:val="2"/>
    </w:rPr>
  </w:style>
  <w:style w:type="paragraph" w:customStyle="1" w:styleId="194">
    <w:name w:val="图"/>
    <w:basedOn w:val="2"/>
    <w:next w:val="1"/>
    <w:qFormat/>
    <w:uiPriority w:val="0"/>
    <w:pPr>
      <w:widowControl w:val="0"/>
      <w:spacing w:line="236" w:lineRule="exact"/>
      <w:ind w:firstLine="0"/>
      <w:jc w:val="both"/>
    </w:pPr>
    <w:rPr>
      <w:rFonts w:ascii="宋体" w:hAnsi="Times New Roman" w:eastAsia="宋体"/>
      <w:kern w:val="2"/>
      <w:sz w:val="18"/>
      <w:szCs w:val="18"/>
    </w:rPr>
  </w:style>
  <w:style w:type="character" w:customStyle="1" w:styleId="195">
    <w:name w:val="font41"/>
    <w:basedOn w:val="38"/>
    <w:qFormat/>
    <w:uiPriority w:val="0"/>
    <w:rPr>
      <w:rFonts w:hint="default" w:ascii="Times New Roman" w:hAnsi="Times New Roman" w:cs="Times New Roman"/>
      <w:color w:val="000000"/>
      <w:sz w:val="21"/>
      <w:szCs w:val="21"/>
      <w:u w:val="none"/>
    </w:rPr>
  </w:style>
  <w:style w:type="character" w:customStyle="1" w:styleId="196">
    <w:name w:val="表格文字 Char"/>
    <w:link w:val="170"/>
    <w:qFormat/>
    <w:uiPriority w:val="0"/>
    <w:rPr>
      <w:rFonts w:ascii="Arial" w:hAnsi="Arial" w:eastAsia="仿宋_GB2312" w:cs="Arial"/>
      <w:color w:val="000000"/>
      <w:spacing w:val="-20"/>
      <w:kern w:val="2"/>
      <w:sz w:val="24"/>
    </w:rPr>
  </w:style>
  <w:style w:type="paragraph" w:customStyle="1" w:styleId="197">
    <w:name w:val="中文报告书样式"/>
    <w:basedOn w:val="1"/>
    <w:qFormat/>
    <w:uiPriority w:val="0"/>
    <w:pPr>
      <w:widowControl/>
      <w:adjustRightInd w:val="0"/>
      <w:spacing w:line="480" w:lineRule="atLeast"/>
      <w:ind w:firstLine="482"/>
      <w:jc w:val="left"/>
      <w:textAlignment w:val="baseline"/>
    </w:pPr>
    <w:rPr>
      <w:kern w:val="24"/>
      <w:sz w:val="24"/>
      <w:szCs w:val="20"/>
    </w:rPr>
  </w:style>
  <w:style w:type="paragraph" w:customStyle="1" w:styleId="198">
    <w:name w:val="表1"/>
    <w:next w:val="1"/>
    <w:link w:val="199"/>
    <w:semiHidden/>
    <w:qFormat/>
    <w:uiPriority w:val="0"/>
    <w:pPr>
      <w:adjustRightInd w:val="0"/>
      <w:snapToGrid w:val="0"/>
      <w:jc w:val="center"/>
    </w:pPr>
    <w:rPr>
      <w:rFonts w:ascii="Times New Roman" w:hAnsi="Times New Roman" w:eastAsia="宋体" w:cs="Times New Roman"/>
      <w:sz w:val="21"/>
      <w:lang w:val="en-US" w:eastAsia="zh-CN" w:bidi="ar-SA"/>
    </w:rPr>
  </w:style>
  <w:style w:type="character" w:customStyle="1" w:styleId="199">
    <w:name w:val="表1 Char"/>
    <w:link w:val="198"/>
    <w:semiHidden/>
    <w:qFormat/>
    <w:uiPriority w:val="0"/>
    <w:rPr>
      <w:sz w:val="21"/>
    </w:rPr>
  </w:style>
  <w:style w:type="character" w:customStyle="1" w:styleId="200">
    <w:name w:val="正文文本首行缩进 2 字符"/>
    <w:basedOn w:val="59"/>
    <w:link w:val="35"/>
    <w:qFormat/>
    <w:uiPriority w:val="0"/>
    <w:rPr>
      <w:rFonts w:ascii="Times New Roman" w:hAnsi="Times New Roman" w:eastAsia="宋体" w:cs="Times New Roman"/>
      <w:kern w:val="2"/>
      <w:sz w:val="24"/>
      <w:szCs w:val="24"/>
    </w:rPr>
  </w:style>
  <w:style w:type="character" w:customStyle="1" w:styleId="201">
    <w:name w:val="题注 Char"/>
    <w:qFormat/>
    <w:uiPriority w:val="0"/>
    <w:rPr>
      <w:rFonts w:ascii="Cambria" w:hAnsi="Cambria" w:eastAsia="黑体"/>
      <w:kern w:val="2"/>
    </w:rPr>
  </w:style>
  <w:style w:type="character" w:customStyle="1" w:styleId="202">
    <w:name w:val="正文文本 (2) + 间距 2 pt"/>
    <w:basedOn w:val="186"/>
    <w:qFormat/>
    <w:uiPriority w:val="0"/>
    <w:rPr>
      <w:rFonts w:ascii="MingLiU" w:hAnsi="MingLiU" w:eastAsia="MingLiU" w:cs="MingLiU"/>
      <w:color w:val="000000"/>
      <w:spacing w:val="50"/>
      <w:w w:val="100"/>
      <w:position w:val="0"/>
      <w:sz w:val="18"/>
      <w:szCs w:val="18"/>
      <w:u w:val="none"/>
      <w:shd w:val="clear" w:color="auto" w:fill="FFFFFF"/>
      <w:lang w:val="zh-TW" w:eastAsia="zh-TW" w:bidi="zh-TW"/>
    </w:rPr>
  </w:style>
  <w:style w:type="character" w:customStyle="1" w:styleId="203">
    <w:name w:val="正文文本 (2) + Sylfaen"/>
    <w:basedOn w:val="186"/>
    <w:qFormat/>
    <w:uiPriority w:val="0"/>
    <w:rPr>
      <w:rFonts w:ascii="Sylfaen" w:hAnsi="Sylfaen" w:eastAsia="Sylfaen" w:cs="Sylfaen"/>
      <w:color w:val="000000"/>
      <w:spacing w:val="0"/>
      <w:w w:val="100"/>
      <w:position w:val="0"/>
      <w:sz w:val="19"/>
      <w:szCs w:val="19"/>
      <w:u w:val="none"/>
      <w:shd w:val="clear" w:color="auto" w:fill="FFFFFF"/>
      <w:lang w:val="en-US" w:eastAsia="en-US" w:bidi="en-US"/>
    </w:rPr>
  </w:style>
  <w:style w:type="character" w:customStyle="1" w:styleId="204">
    <w:name w:val="正文文本 (2) + 5.5 pt"/>
    <w:basedOn w:val="186"/>
    <w:qFormat/>
    <w:uiPriority w:val="0"/>
    <w:rPr>
      <w:rFonts w:ascii="MingLiU" w:hAnsi="MingLiU" w:eastAsia="MingLiU" w:cs="MingLiU"/>
      <w:color w:val="000000"/>
      <w:spacing w:val="0"/>
      <w:w w:val="150"/>
      <w:position w:val="0"/>
      <w:sz w:val="11"/>
      <w:szCs w:val="11"/>
      <w:u w:val="none"/>
      <w:shd w:val="clear" w:color="auto" w:fill="FFFFFF"/>
      <w:lang w:val="zh-TW" w:eastAsia="zh-TW" w:bidi="zh-TW"/>
    </w:rPr>
  </w:style>
  <w:style w:type="character" w:customStyle="1" w:styleId="205">
    <w:name w:val="正文文本 (2) + Gulim"/>
    <w:basedOn w:val="186"/>
    <w:qFormat/>
    <w:uiPriority w:val="0"/>
    <w:rPr>
      <w:rFonts w:ascii="Gulim" w:hAnsi="Gulim" w:eastAsia="Gulim" w:cs="Gulim"/>
      <w:color w:val="000000"/>
      <w:spacing w:val="0"/>
      <w:w w:val="100"/>
      <w:position w:val="0"/>
      <w:sz w:val="9"/>
      <w:szCs w:val="9"/>
      <w:u w:val="none"/>
      <w:shd w:val="clear" w:color="auto" w:fill="FFFFFF"/>
      <w:lang w:val="en-US" w:eastAsia="en-US" w:bidi="en-US"/>
    </w:rPr>
  </w:style>
  <w:style w:type="character" w:customStyle="1" w:styleId="206">
    <w:name w:val="正文文本 (2) + 间距 0 pt"/>
    <w:basedOn w:val="186"/>
    <w:qFormat/>
    <w:uiPriority w:val="0"/>
    <w:rPr>
      <w:rFonts w:ascii="MingLiU" w:hAnsi="MingLiU" w:eastAsia="MingLiU" w:cs="MingLiU"/>
      <w:color w:val="000000"/>
      <w:spacing w:val="10"/>
      <w:w w:val="100"/>
      <w:position w:val="0"/>
      <w:sz w:val="18"/>
      <w:szCs w:val="18"/>
      <w:u w:val="none"/>
      <w:shd w:val="clear" w:color="auto" w:fill="FFFFFF"/>
      <w:lang w:val="zh-TW" w:eastAsia="zh-TW" w:bidi="zh-TW"/>
    </w:rPr>
  </w:style>
  <w:style w:type="character" w:customStyle="1" w:styleId="207">
    <w:name w:val="正文文本 (2) + 间距 4 pt"/>
    <w:basedOn w:val="186"/>
    <w:qFormat/>
    <w:uiPriority w:val="0"/>
    <w:rPr>
      <w:rFonts w:ascii="MingLiU" w:hAnsi="MingLiU" w:eastAsia="MingLiU" w:cs="MingLiU"/>
      <w:color w:val="000000"/>
      <w:spacing w:val="80"/>
      <w:w w:val="100"/>
      <w:position w:val="0"/>
      <w:sz w:val="18"/>
      <w:szCs w:val="18"/>
      <w:u w:val="none"/>
      <w:shd w:val="clear" w:color="auto" w:fill="FFFFFF"/>
      <w:lang w:val="zh-TW" w:eastAsia="zh-TW" w:bidi="zh-TW"/>
    </w:rPr>
  </w:style>
  <w:style w:type="character" w:customStyle="1" w:styleId="208">
    <w:name w:val="正文文本 (2) Exact"/>
    <w:basedOn w:val="38"/>
    <w:qFormat/>
    <w:uiPriority w:val="0"/>
    <w:rPr>
      <w:rFonts w:ascii="MingLiU" w:hAnsi="MingLiU" w:eastAsia="MingLiU" w:cs="MingLiU"/>
      <w:sz w:val="22"/>
      <w:szCs w:val="22"/>
      <w:u w:val="none"/>
    </w:rPr>
  </w:style>
  <w:style w:type="character" w:customStyle="1" w:styleId="209">
    <w:name w:val="无间隔 Char"/>
    <w:qFormat/>
    <w:uiPriority w:val="1"/>
    <w:rPr>
      <w:rFonts w:cs="Arial"/>
      <w:snapToGrid w:val="0"/>
      <w:color w:val="1F497D"/>
      <w:sz w:val="21"/>
      <w:szCs w:val="21"/>
      <w:lang w:val="zh-CN"/>
    </w:rPr>
  </w:style>
  <w:style w:type="table" w:customStyle="1" w:styleId="210">
    <w:name w:val="网格型-中对齐1"/>
    <w:basedOn w:val="36"/>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11">
    <w:name w:val="图表标题 Char"/>
    <w:link w:val="181"/>
    <w:qFormat/>
    <w:uiPriority w:val="0"/>
    <w:rPr>
      <w:rFonts w:cs="宋体"/>
      <w:b/>
      <w:kern w:val="2"/>
      <w:sz w:val="24"/>
      <w:szCs w:val="24"/>
    </w:rPr>
  </w:style>
  <w:style w:type="character" w:customStyle="1" w:styleId="212">
    <w:name w:val="我的正文 字符"/>
    <w:qFormat/>
    <w:uiPriority w:val="0"/>
    <w:rPr>
      <w:kern w:val="2"/>
      <w:sz w:val="24"/>
      <w:szCs w:val="24"/>
    </w:rPr>
  </w:style>
  <w:style w:type="paragraph" w:customStyle="1" w:styleId="213">
    <w:name w:val="标题1"/>
    <w:basedOn w:val="1"/>
    <w:next w:val="1"/>
    <w:qFormat/>
    <w:uiPriority w:val="10"/>
    <w:pPr>
      <w:widowControl/>
      <w:jc w:val="left"/>
      <w:outlineLvl w:val="0"/>
    </w:pPr>
    <w:rPr>
      <w:rFonts w:ascii="Cambria" w:hAnsi="Cambria"/>
      <w:b/>
      <w:bCs/>
      <w:sz w:val="32"/>
      <w:szCs w:val="32"/>
    </w:rPr>
  </w:style>
  <w:style w:type="character" w:customStyle="1" w:styleId="214">
    <w:name w:val="标题 字符"/>
    <w:basedOn w:val="38"/>
    <w:link w:val="32"/>
    <w:qFormat/>
    <w:uiPriority w:val="10"/>
    <w:rPr>
      <w:rFonts w:ascii="Cambria" w:hAnsi="Cambria"/>
      <w:b/>
      <w:bCs/>
      <w:kern w:val="2"/>
      <w:sz w:val="32"/>
      <w:szCs w:val="32"/>
    </w:rPr>
  </w:style>
  <w:style w:type="character" w:customStyle="1" w:styleId="215">
    <w:name w:val="未处理的提及1"/>
    <w:basedOn w:val="38"/>
    <w:semiHidden/>
    <w:unhideWhenUsed/>
    <w:qFormat/>
    <w:uiPriority w:val="99"/>
    <w:rPr>
      <w:color w:val="605E5C"/>
      <w:shd w:val="clear" w:color="auto" w:fill="E1DFDD"/>
    </w:rPr>
  </w:style>
  <w:style w:type="character" w:customStyle="1" w:styleId="216">
    <w:name w:val="表格文字内容 Char"/>
    <w:link w:val="217"/>
    <w:qFormat/>
    <w:uiPriority w:val="0"/>
    <w:rPr>
      <w:rFonts w:hAnsi="宋体" w:cs="宋体"/>
      <w:kern w:val="2"/>
      <w:sz w:val="18"/>
    </w:rPr>
  </w:style>
  <w:style w:type="paragraph" w:customStyle="1" w:styleId="217">
    <w:name w:val="表格文字内容"/>
    <w:basedOn w:val="1"/>
    <w:link w:val="216"/>
    <w:qFormat/>
    <w:uiPriority w:val="0"/>
    <w:pPr>
      <w:spacing w:line="240" w:lineRule="exact"/>
      <w:jc w:val="center"/>
    </w:pPr>
    <w:rPr>
      <w:rFonts w:hAnsi="宋体" w:cs="宋体"/>
      <w:sz w:val="18"/>
      <w:szCs w:val="20"/>
    </w:rPr>
  </w:style>
  <w:style w:type="character" w:styleId="218">
    <w:name w:val="Placeholder Text"/>
    <w:basedOn w:val="38"/>
    <w:semiHidden/>
    <w:qFormat/>
    <w:uiPriority w:val="99"/>
    <w:rPr>
      <w:color w:val="808080"/>
    </w:rPr>
  </w:style>
  <w:style w:type="character" w:customStyle="1" w:styleId="219">
    <w:name w:val="标题 字符1"/>
    <w:basedOn w:val="38"/>
    <w:qFormat/>
    <w:uiPriority w:val="0"/>
    <w:rPr>
      <w:rFonts w:asciiTheme="majorHAnsi" w:hAnsiTheme="majorHAnsi" w:eastAsiaTheme="majorEastAsia" w:cstheme="majorBidi"/>
      <w:b/>
      <w:bCs/>
      <w:kern w:val="2"/>
      <w:sz w:val="32"/>
      <w:szCs w:val="32"/>
    </w:rPr>
  </w:style>
  <w:style w:type="table" w:customStyle="1" w:styleId="220">
    <w:name w:val="网格型刘2"/>
    <w:basedOn w:val="36"/>
    <w:qFormat/>
    <w:uiPriority w:val="39"/>
    <w:pPr>
      <w:adjustRightInd w:val="0"/>
      <w:snapToGrid w:val="0"/>
      <w:spacing w:beforeLines="20" w:afterLines="20"/>
      <w:jc w:val="both"/>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221">
    <w:name w:val="网格型-中对齐11"/>
    <w:basedOn w:val="36"/>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2">
    <w:name w:val="A宋体新罗马五号字体"/>
    <w:basedOn w:val="1"/>
    <w:link w:val="223"/>
    <w:qFormat/>
    <w:uiPriority w:val="0"/>
    <w:pPr>
      <w:adjustRightInd w:val="0"/>
      <w:snapToGrid w:val="0"/>
      <w:jc w:val="center"/>
    </w:pPr>
    <w:rPr>
      <w:rFonts w:cs="宋体"/>
      <w:color w:val="000000" w:themeColor="text1"/>
      <w:szCs w:val="18"/>
      <w14:textFill>
        <w14:solidFill>
          <w14:schemeClr w14:val="tx1"/>
        </w14:solidFill>
      </w14:textFill>
    </w:rPr>
  </w:style>
  <w:style w:type="character" w:customStyle="1" w:styleId="223">
    <w:name w:val="A宋体新罗马五号字体 字符"/>
    <w:basedOn w:val="38"/>
    <w:link w:val="222"/>
    <w:qFormat/>
    <w:uiPriority w:val="0"/>
    <w:rPr>
      <w:rFonts w:cs="宋体"/>
      <w:color w:val="000000" w:themeColor="text1"/>
      <w:kern w:val="2"/>
      <w:sz w:val="21"/>
      <w:szCs w:val="18"/>
      <w14:textFill>
        <w14:solidFill>
          <w14:schemeClr w14:val="tx1"/>
        </w14:solidFill>
      </w14:textFill>
    </w:rPr>
  </w:style>
  <w:style w:type="table" w:customStyle="1" w:styleId="224">
    <w:name w:val="网格型刘3"/>
    <w:basedOn w:val="36"/>
    <w:qFormat/>
    <w:uiPriority w:val="39"/>
    <w:pPr>
      <w:adjustRightInd w:val="0"/>
      <w:snapToGrid w:val="0"/>
      <w:spacing w:beforeLines="20" w:afterLines="20"/>
      <w:jc w:val="both"/>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customStyle="1" w:styleId="225">
    <w:name w:val="未处理的提及2"/>
    <w:basedOn w:val="38"/>
    <w:semiHidden/>
    <w:unhideWhenUsed/>
    <w:qFormat/>
    <w:uiPriority w:val="99"/>
    <w:rPr>
      <w:color w:val="605E5C"/>
      <w:shd w:val="clear" w:color="auto" w:fill="E1DFDD"/>
    </w:rPr>
  </w:style>
  <w:style w:type="character" w:customStyle="1" w:styleId="226">
    <w:name w:val="文本 Char Char"/>
    <w:link w:val="227"/>
    <w:qFormat/>
    <w:uiPriority w:val="0"/>
    <w:rPr>
      <w:sz w:val="24"/>
    </w:rPr>
  </w:style>
  <w:style w:type="paragraph" w:customStyle="1" w:styleId="227">
    <w:name w:val="文本"/>
    <w:basedOn w:val="1"/>
    <w:next w:val="1"/>
    <w:link w:val="226"/>
    <w:qFormat/>
    <w:uiPriority w:val="0"/>
    <w:pPr>
      <w:widowControl/>
      <w:spacing w:line="360" w:lineRule="auto"/>
      <w:ind w:firstLine="200" w:firstLineChars="200"/>
    </w:pPr>
    <w:rPr>
      <w:kern w:val="0"/>
      <w:sz w:val="24"/>
      <w:szCs w:val="20"/>
    </w:rPr>
  </w:style>
  <w:style w:type="paragraph" w:customStyle="1" w:styleId="228">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229">
    <w:name w:val="Table Paragraph"/>
    <w:basedOn w:val="1"/>
    <w:qFormat/>
    <w:uiPriority w:val="1"/>
    <w:pPr>
      <w:jc w:val="center"/>
    </w:pPr>
    <w:rPr>
      <w:rFonts w:ascii="宋体" w:hAnsi="宋体" w:cs="宋体"/>
    </w:rPr>
  </w:style>
  <w:style w:type="paragraph" w:customStyle="1" w:styleId="230">
    <w:name w:val="正文（通）"/>
    <w:basedOn w:val="1"/>
    <w:qFormat/>
    <w:uiPriority w:val="0"/>
    <w:pPr>
      <w:spacing w:line="360" w:lineRule="auto"/>
      <w:ind w:firstLine="200" w:firstLineChars="200"/>
      <w:jc w:val="left"/>
    </w:pPr>
    <w:rPr>
      <w:sz w:val="24"/>
    </w:rPr>
  </w:style>
  <w:style w:type="paragraph" w:customStyle="1" w:styleId="231">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table" w:customStyle="1" w:styleId="232">
    <w:name w:val="Table Grid_0"/>
    <w:basedOn w:val="36"/>
    <w:qFormat/>
    <w:uiPriority w:val="0"/>
    <w:rPr>
      <w:rFonts w:eastAsia="仿宋"/>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3">
    <w:name w:val="正文 宋体"/>
    <w:basedOn w:val="12"/>
    <w:qFormat/>
    <w:uiPriority w:val="0"/>
    <w:pPr>
      <w:snapToGrid/>
    </w:pPr>
    <w:rPr>
      <w:rFonts w:eastAsia="Times New Roman"/>
      <w:color w:val="FF0000"/>
    </w:rPr>
  </w:style>
  <w:style w:type="paragraph" w:customStyle="1" w:styleId="234">
    <w:name w:val="样式 表中文字 + 小四"/>
    <w:basedOn w:val="1"/>
    <w:qFormat/>
    <w:uiPriority w:val="0"/>
    <w:pPr>
      <w:widowControl/>
      <w:jc w:val="center"/>
    </w:pPr>
    <w:rPr>
      <w:rFonts w:ascii="宋体" w:hAnsi="宋体" w:cs="宋体"/>
      <w:kern w:val="0"/>
      <w:szCs w:val="21"/>
    </w:rPr>
  </w:style>
  <w:style w:type="paragraph" w:customStyle="1" w:styleId="235">
    <w:name w:val="默认段落"/>
    <w:basedOn w:val="1"/>
    <w:qFormat/>
    <w:uiPriority w:val="0"/>
  </w:style>
  <w:style w:type="paragraph" w:customStyle="1" w:styleId="236">
    <w:name w:val="A表格"/>
    <w:basedOn w:val="1"/>
    <w:qFormat/>
    <w:uiPriority w:val="0"/>
    <w:pPr>
      <w:jc w:val="center"/>
    </w:pPr>
    <w:rPr>
      <w:color w:val="000000"/>
      <w:szCs w:val="21"/>
      <w:lang w:val="zh-CN"/>
    </w:rPr>
  </w:style>
  <w:style w:type="paragraph" w:customStyle="1" w:styleId="237">
    <w:name w:val="表格五号"/>
    <w:qFormat/>
    <w:uiPriority w:val="0"/>
    <w:pPr>
      <w:spacing w:line="280" w:lineRule="exact"/>
      <w:contextualSpacing/>
      <w:jc w:val="center"/>
    </w:pPr>
    <w:rPr>
      <w:rFonts w:ascii="Times New Roman" w:hAnsi="Times New Roman" w:cs="Times New Roman" w:eastAsiaTheme="minorEastAsia"/>
      <w:sz w:val="21"/>
      <w:szCs w:val="24"/>
      <w:lang w:val="en-US" w:eastAsia="zh-CN" w:bidi="ar-SA"/>
    </w:rPr>
  </w:style>
  <w:style w:type="paragraph" w:customStyle="1" w:styleId="238">
    <w:name w:val="表内文字"/>
    <w:basedOn w:val="1"/>
    <w:qFormat/>
    <w:uiPriority w:val="0"/>
    <w:pPr>
      <w:jc w:val="center"/>
      <w:textAlignment w:val="center"/>
    </w:pPr>
    <w:rPr>
      <w:snapToGrid w:val="0"/>
      <w:kern w:val="0"/>
      <w:szCs w:val="20"/>
    </w:rPr>
  </w:style>
  <w:style w:type="paragraph" w:customStyle="1" w:styleId="239">
    <w:name w:val="无间隔1"/>
    <w:qFormat/>
    <w:uiPriority w:val="0"/>
    <w:pPr>
      <w:widowControl w:val="0"/>
      <w:ind w:left="-23" w:leftChars="-11" w:right="-29" w:firstLine="67" w:firstLineChars="32"/>
      <w:jc w:val="center"/>
    </w:pPr>
    <w:rPr>
      <w:rFonts w:ascii="Times New Roman" w:hAnsi="Times New Roman" w:eastAsia="宋体" w:cs="Times New Roman"/>
      <w:color w:val="0070C0"/>
      <w:sz w:val="21"/>
      <w:szCs w:val="21"/>
      <w:lang w:val="zh-CN" w:eastAsia="zh-CN" w:bidi="ar-SA"/>
    </w:rPr>
  </w:style>
  <w:style w:type="paragraph" w:customStyle="1" w:styleId="240">
    <w:name w:val="Revision"/>
    <w:hidden/>
    <w:unhideWhenUsed/>
    <w:qFormat/>
    <w:uiPriority w:val="99"/>
    <w:rPr>
      <w:rFonts w:ascii="Times New Roman" w:hAnsi="Times New Roman" w:eastAsia="宋体" w:cs="Times New Roman"/>
      <w:kern w:val="2"/>
      <w:sz w:val="21"/>
      <w:szCs w:val="24"/>
      <w:lang w:val="en-US" w:eastAsia="zh-CN" w:bidi="ar-SA"/>
    </w:rPr>
  </w:style>
  <w:style w:type="paragraph" w:customStyle="1" w:styleId="241">
    <w:name w:val="样式4"/>
    <w:basedOn w:val="2"/>
    <w:qFormat/>
    <w:uiPriority w:val="0"/>
    <w:pPr>
      <w:ind w:firstLine="480" w:firstLineChars="200"/>
    </w:pPr>
    <w:rPr>
      <w:rFonts w:eastAsia="华文中宋"/>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19.wmf"/><Relationship Id="rId28" Type="http://schemas.openxmlformats.org/officeDocument/2006/relationships/oleObject" Target="embeddings/oleObject1.bin"/><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jpe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IwOTAzMzEwOTc3IiwKCSJHcm91cElkIiA6ICIyNDQzNjI1MjUiLAoJIkltYWdlIiA6ICJpVkJPUncwS0dnb0FBQUFOU1VoRVVnQUFCSjBBQUFCOENBWUFBQURENThGekFBQUFDWEJJV1hNQUFBc1RBQUFMRXdFQW1wd1lBQUFnQUVsRVFWUjRuTzNkZVh4TVYvOEg4TStkYklpRVVLSEJVMHBiSHFYUERFRzBSRU9yUWNXV3RFaXNGZnYySTIxcFU2WEVVbXFOVklnbHhCSkVVZ2xGTFNHYWhrWnNzVldJcFlKVXlDTDczUHY3STgvY0o1T1pyQkxaUHUvWHkwdm1yaWVaNzkzTy9aNXpBQ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VDBhdncvYVVWNkNzdys0Vk1BQUFBQVNVVk9SSzVDWUlJPSIsCgkiVGhlbWUiIDogIiIsCgkiVHlwZSIgOiAiZmxvdyIsCgkiVmVyc2lvbiIgOiAiIgp9Cg=="/>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61444EC-0A2D-40F5-95A8-58A9E67CDA7C}">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133</Pages>
  <Words>91921</Words>
  <Characters>102268</Characters>
  <Lines>718</Lines>
  <Paragraphs>202</Paragraphs>
  <TotalTime>169</TotalTime>
  <ScaleCrop>false</ScaleCrop>
  <LinksUpToDate>false</LinksUpToDate>
  <CharactersWithSpaces>102694</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2023-05-28T07:54:00Z</dcterms:created>
  <dc:creator>lhj</dc:creator>
  <cp:lastModifiedBy>猴子二哥</cp:lastModifiedBy>
  <cp:lastPrinted>2020-12-24T01:50:00Z</cp:lastPrinted>
  <dcterms:modified xsi:type="dcterms:W3CDTF">2024-02-28T08:20:10Z</dcterms:modified>
  <cp:revision>116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7A0D9806724D4034985A3A9FC2268BA5_13</vt:lpwstr>
  </property>
</Properties>
</file>